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665E" w14:textId="21E78FFA" w:rsidR="0052442A" w:rsidRDefault="00320D25">
      <w:pPr>
        <w:spacing w:line="24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DC20C" wp14:editId="40E00E65">
            <wp:simplePos x="0" y="0"/>
            <wp:positionH relativeFrom="column">
              <wp:posOffset>-1083945</wp:posOffset>
            </wp:positionH>
            <wp:positionV relativeFrom="paragraph">
              <wp:posOffset>-511810</wp:posOffset>
            </wp:positionV>
            <wp:extent cx="7442432" cy="436245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935" cy="436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5276C" w14:textId="69CEF5C6" w:rsidR="0052442A" w:rsidRDefault="0052442A">
      <w:pPr>
        <w:spacing w:line="240" w:lineRule="exact"/>
        <w:rPr>
          <w:sz w:val="19"/>
          <w:szCs w:val="19"/>
        </w:rPr>
      </w:pPr>
    </w:p>
    <w:p w14:paraId="1E245F59" w14:textId="1CDB3E09" w:rsidR="00320D25" w:rsidRDefault="00320D25">
      <w:pPr>
        <w:pStyle w:val="11"/>
        <w:ind w:firstLine="0"/>
        <w:jc w:val="center"/>
        <w:rPr>
          <w:b/>
          <w:bCs/>
        </w:rPr>
      </w:pPr>
    </w:p>
    <w:p w14:paraId="3843C061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74846082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1B86048B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7B0FE02F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625F99F8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64BD0D5C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48DB4709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190E449E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4F57382C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4F7BAB4B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5102D69F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4534B1F0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072C4099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4DC80F6A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2EF536DE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0224B6D5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2B478369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32CC9C8B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4BD9E877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0B2C2C97" w14:textId="6E9519F2" w:rsidR="00320D25" w:rsidRDefault="00320D25">
      <w:pPr>
        <w:pStyle w:val="11"/>
        <w:ind w:firstLine="0"/>
        <w:jc w:val="center"/>
        <w:rPr>
          <w:b/>
          <w:bCs/>
        </w:rPr>
      </w:pPr>
    </w:p>
    <w:p w14:paraId="69115046" w14:textId="5A422CDA" w:rsidR="00320D25" w:rsidRDefault="00320D25">
      <w:pPr>
        <w:pStyle w:val="11"/>
        <w:ind w:firstLine="0"/>
        <w:jc w:val="center"/>
        <w:rPr>
          <w:b/>
          <w:bCs/>
        </w:rPr>
      </w:pPr>
    </w:p>
    <w:p w14:paraId="37BF7E30" w14:textId="4858CCDB" w:rsidR="00320D25" w:rsidRDefault="00320D25">
      <w:pPr>
        <w:pStyle w:val="11"/>
        <w:ind w:firstLine="0"/>
        <w:jc w:val="center"/>
        <w:rPr>
          <w:b/>
          <w:bCs/>
        </w:rPr>
      </w:pPr>
    </w:p>
    <w:p w14:paraId="11B7CA19" w14:textId="52D0E112" w:rsidR="00320D25" w:rsidRDefault="00320D25">
      <w:pPr>
        <w:pStyle w:val="11"/>
        <w:ind w:firstLine="0"/>
        <w:jc w:val="center"/>
        <w:rPr>
          <w:b/>
          <w:bCs/>
        </w:rPr>
      </w:pPr>
    </w:p>
    <w:p w14:paraId="32574E06" w14:textId="5A5917E4" w:rsidR="00320D25" w:rsidRDefault="00320D25">
      <w:pPr>
        <w:pStyle w:val="11"/>
        <w:ind w:firstLine="0"/>
        <w:jc w:val="center"/>
        <w:rPr>
          <w:b/>
          <w:bCs/>
        </w:rPr>
      </w:pPr>
    </w:p>
    <w:p w14:paraId="26F66C42" w14:textId="77777777" w:rsidR="00320D25" w:rsidRDefault="00320D25">
      <w:pPr>
        <w:pStyle w:val="11"/>
        <w:ind w:firstLine="0"/>
        <w:jc w:val="center"/>
        <w:rPr>
          <w:b/>
          <w:bCs/>
        </w:rPr>
      </w:pPr>
    </w:p>
    <w:p w14:paraId="06EA8D94" w14:textId="01B801DD" w:rsidR="0052442A" w:rsidRDefault="0012717E">
      <w:pPr>
        <w:pStyle w:val="11"/>
        <w:ind w:firstLine="0"/>
        <w:jc w:val="center"/>
      </w:pPr>
      <w:r>
        <w:rPr>
          <w:b/>
          <w:bCs/>
        </w:rPr>
        <w:t>ПОЛОЖЕНИЕ</w:t>
      </w:r>
    </w:p>
    <w:p w14:paraId="6F461F7C" w14:textId="77777777" w:rsidR="0052442A" w:rsidRDefault="0012717E">
      <w:pPr>
        <w:pStyle w:val="11"/>
        <w:spacing w:after="4100"/>
        <w:ind w:firstLine="0"/>
        <w:jc w:val="center"/>
      </w:pPr>
      <w:r>
        <w:rPr>
          <w:b/>
          <w:bCs/>
        </w:rPr>
        <w:t>О КОНТРОЛЕ, ЗА ДЕЯТЕЛЬНОСТЬЮ СВОИХ ЧЛЕНОВ В ЧАСТИ</w:t>
      </w:r>
      <w:r>
        <w:rPr>
          <w:b/>
          <w:bCs/>
        </w:rPr>
        <w:br/>
        <w:t>СОБЛЮДЕНИЯ ИМИ ТРЕБОВАНИЙ СТАНДАРТОВ И ПРАВИЛ</w:t>
      </w:r>
      <w:r>
        <w:rPr>
          <w:b/>
          <w:bCs/>
        </w:rPr>
        <w:br/>
        <w:t>САМОРЕГУЛИРУЕМОЙ ОРГАНИЗАЦИИ, УСЛОВИЙ ЧЛЕНСТВА В</w:t>
      </w:r>
      <w:r>
        <w:rPr>
          <w:b/>
          <w:bCs/>
        </w:rPr>
        <w:br/>
        <w:t>САМОРЕГУЛИРУЕМОЙ ОРГАНИЗАЦИИ</w:t>
      </w:r>
      <w:r>
        <w:rPr>
          <w:b/>
          <w:bCs/>
        </w:rPr>
        <w:br/>
        <w:t>(ПРАВИЛА КОНТРОЛЯ)</w:t>
      </w:r>
      <w:r>
        <w:rPr>
          <w:b/>
          <w:bCs/>
        </w:rPr>
        <w:br/>
      </w:r>
      <w:r>
        <w:rPr>
          <w:b/>
          <w:bCs/>
        </w:rPr>
        <w:t>СОЮЗА ПРОЕКТИРОВЩИКОВ</w:t>
      </w:r>
      <w:r>
        <w:rPr>
          <w:b/>
          <w:bCs/>
        </w:rPr>
        <w:br/>
        <w:t>«ЭКСПЕРТНЫЕ ОРГАНИЗАЦИИ ЭЛЕКТРОЭНЕРГЕТИКИ»</w:t>
      </w:r>
    </w:p>
    <w:p w14:paraId="7032C524" w14:textId="77777777" w:rsidR="0052442A" w:rsidRDefault="0012717E">
      <w:pPr>
        <w:pStyle w:val="11"/>
        <w:ind w:firstLine="0"/>
        <w:jc w:val="center"/>
      </w:pPr>
      <w:r>
        <w:rPr>
          <w:b/>
          <w:bCs/>
        </w:rPr>
        <w:t>Санкт-Петербург</w:t>
      </w:r>
    </w:p>
    <w:p w14:paraId="66C1E1E6" w14:textId="77777777" w:rsidR="0052442A" w:rsidRDefault="0012717E">
      <w:pPr>
        <w:pStyle w:val="11"/>
        <w:spacing w:after="280"/>
        <w:ind w:firstLine="0"/>
        <w:jc w:val="center"/>
      </w:pPr>
      <w:r>
        <w:rPr>
          <w:b/>
          <w:bCs/>
        </w:rPr>
        <w:t>2019</w:t>
      </w:r>
    </w:p>
    <w:p w14:paraId="37041D15" w14:textId="77777777" w:rsidR="0052442A" w:rsidRDefault="0012717E">
      <w:pPr>
        <w:pStyle w:val="20"/>
        <w:keepNext/>
        <w:keepLines/>
        <w:numPr>
          <w:ilvl w:val="0"/>
          <w:numId w:val="1"/>
        </w:numPr>
        <w:tabs>
          <w:tab w:val="left" w:pos="310"/>
        </w:tabs>
        <w:spacing w:after="280" w:line="240" w:lineRule="auto"/>
      </w:pPr>
      <w:bookmarkStart w:id="0" w:name="bookmark5"/>
      <w:bookmarkStart w:id="1" w:name="bookmark3"/>
      <w:bookmarkStart w:id="2" w:name="bookmark4"/>
      <w:bookmarkStart w:id="3" w:name="bookmark6"/>
      <w:bookmarkEnd w:id="0"/>
      <w:r>
        <w:lastRenderedPageBreak/>
        <w:t>Общие положения</w:t>
      </w:r>
      <w:bookmarkEnd w:id="1"/>
      <w:bookmarkEnd w:id="2"/>
      <w:bookmarkEnd w:id="3"/>
    </w:p>
    <w:p w14:paraId="33DC7104" w14:textId="77777777" w:rsidR="0052442A" w:rsidRDefault="0012717E">
      <w:pPr>
        <w:pStyle w:val="11"/>
        <w:numPr>
          <w:ilvl w:val="1"/>
          <w:numId w:val="1"/>
        </w:numPr>
        <w:tabs>
          <w:tab w:val="left" w:pos="946"/>
        </w:tabs>
        <w:spacing w:line="214" w:lineRule="auto"/>
        <w:ind w:firstLine="560"/>
      </w:pPr>
      <w:bookmarkStart w:id="4" w:name="bookmark7"/>
      <w:bookmarkEnd w:id="4"/>
      <w:r>
        <w:t xml:space="preserve">.Настоящие Правила контроля в области саморегулирования (далее - Правила) Союза проектировщиков «Экспертные организации электроэнергетики» (далее - Союз) </w:t>
      </w:r>
      <w:r>
        <w:t>разработаны в соответствии с требованиями, установленными для саморегулируемых организаций Федеральным законом от 01.12.2007 № 315-ФЗ «О саморегулируемых организациях», Федеральным законом от 29.12.2004 № 190-ФЗ «Градостроительный кодекс Российской Федерац</w:t>
      </w:r>
      <w:r>
        <w:t>ии», иными нормативными правовыми актами Российской Федерации, Уставом Союза и внутренними документами Союза.</w:t>
      </w:r>
    </w:p>
    <w:p w14:paraId="2AE87DBF" w14:textId="77777777" w:rsidR="0052442A" w:rsidRDefault="0012717E">
      <w:pPr>
        <w:pStyle w:val="11"/>
        <w:numPr>
          <w:ilvl w:val="0"/>
          <w:numId w:val="2"/>
        </w:numPr>
        <w:tabs>
          <w:tab w:val="left" w:pos="1018"/>
        </w:tabs>
        <w:spacing w:line="209" w:lineRule="auto"/>
        <w:ind w:firstLine="560"/>
      </w:pPr>
      <w:bookmarkStart w:id="5" w:name="bookmark8"/>
      <w:bookmarkEnd w:id="5"/>
      <w:r>
        <w:t>Настоящие Правила в настоящей редакции устанавливают порядок осуществления контроля за деятельностью членов Союза и лиц (юридических лиц и индивид</w:t>
      </w:r>
      <w:r>
        <w:t>уальных предпринимателей), вступающих в члены Союза в части соблюдения и исполнения ими:</w:t>
      </w:r>
    </w:p>
    <w:p w14:paraId="342CD351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09" w:lineRule="auto"/>
        <w:ind w:firstLine="0"/>
      </w:pPr>
      <w:bookmarkStart w:id="6" w:name="bookmark9"/>
      <w:bookmarkEnd w:id="6"/>
      <w:r>
        <w:t>требований стандартов и внутренних документов Союза, условий членства в Союзе, решений органов управления Союза;</w:t>
      </w:r>
    </w:p>
    <w:p w14:paraId="36B3967B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06" w:lineRule="auto"/>
        <w:ind w:firstLine="0"/>
      </w:pPr>
      <w:bookmarkStart w:id="7" w:name="bookmark10"/>
      <w:bookmarkEnd w:id="7"/>
      <w:r>
        <w:t>требований законодательства Российской Федерации о гра</w:t>
      </w:r>
      <w:r>
        <w:t>достроительной деятельности и о техническом регулировании;</w:t>
      </w:r>
    </w:p>
    <w:p w14:paraId="22A0AE2C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1" w:lineRule="auto"/>
        <w:ind w:firstLine="0"/>
      </w:pPr>
      <w:bookmarkStart w:id="8" w:name="bookmark11"/>
      <w:bookmarkEnd w:id="8"/>
      <w:r>
        <w:t>требований, установленных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организаций, основанных на членстве</w:t>
      </w:r>
      <w:r>
        <w:t xml:space="preserve">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14:paraId="09469E63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1" w:lineRule="auto"/>
        <w:ind w:firstLine="0"/>
      </w:pPr>
      <w:bookmarkStart w:id="9" w:name="bookmark12"/>
      <w:bookmarkEnd w:id="9"/>
      <w:r>
        <w:t xml:space="preserve">обязательств по договорам подряда на выполнение подготовку проектной документации, заключенным с </w:t>
      </w:r>
      <w:r>
        <w:t>использованием конкурентных способов заключения договоров;</w:t>
      </w:r>
    </w:p>
    <w:p w14:paraId="7536EB9E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1" w:lineRule="auto"/>
        <w:ind w:firstLine="0"/>
      </w:pPr>
      <w:bookmarkStart w:id="10" w:name="bookmark13"/>
      <w:bookmarkEnd w:id="10"/>
      <w:r>
        <w:t>соответствия фактического совокупного размера обязательств по договорам подряда на подготовку проектной документации, заключенным членом Союза с использованием конкурентных способов заключения дого</w:t>
      </w:r>
      <w:r>
        <w:t>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 Союза, а также взаимодействия Союза и ее членов при проведении проверок.</w:t>
      </w:r>
    </w:p>
    <w:p w14:paraId="56F9FA51" w14:textId="77777777" w:rsidR="0052442A" w:rsidRDefault="0012717E">
      <w:pPr>
        <w:pStyle w:val="11"/>
        <w:numPr>
          <w:ilvl w:val="0"/>
          <w:numId w:val="2"/>
        </w:numPr>
        <w:tabs>
          <w:tab w:val="left" w:pos="977"/>
        </w:tabs>
        <w:spacing w:line="211" w:lineRule="auto"/>
        <w:ind w:firstLine="520"/>
      </w:pPr>
      <w:bookmarkStart w:id="11" w:name="bookmark14"/>
      <w:bookmarkEnd w:id="11"/>
      <w:r>
        <w:t>В рамках настоящих Правил ис</w:t>
      </w:r>
      <w:r>
        <w:t>пользуются следующие понятия и определения:</w:t>
      </w:r>
    </w:p>
    <w:p w14:paraId="4F04E13F" w14:textId="77777777" w:rsidR="0052442A" w:rsidRDefault="0012717E">
      <w:pPr>
        <w:pStyle w:val="11"/>
        <w:numPr>
          <w:ilvl w:val="0"/>
          <w:numId w:val="4"/>
        </w:numPr>
        <w:tabs>
          <w:tab w:val="left" w:pos="601"/>
        </w:tabs>
        <w:spacing w:line="211" w:lineRule="auto"/>
        <w:ind w:firstLine="0"/>
      </w:pPr>
      <w:bookmarkStart w:id="12" w:name="bookmark15"/>
      <w:bookmarkEnd w:id="12"/>
      <w:r>
        <w:rPr>
          <w:b/>
          <w:bCs/>
        </w:rPr>
        <w:t xml:space="preserve">Фактический совокупный размер обязательств по договора подряда на подготовку проектной документации - </w:t>
      </w:r>
      <w:r>
        <w:t>общий объем обязательств по договорам подряда на подготовку проектной документации, заключенным членом Союза в</w:t>
      </w:r>
      <w:r>
        <w:t xml:space="preserve"> течение отчетного года</w:t>
      </w:r>
      <w:r>
        <w:rPr>
          <w:vertAlign w:val="superscript"/>
        </w:rPr>
        <w:footnoteReference w:id="1"/>
      </w:r>
      <w:r>
        <w:t xml:space="preserve"> с использованием конкурентных способов заключения договоров,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работ;</w:t>
      </w:r>
    </w:p>
    <w:p w14:paraId="09421657" w14:textId="77777777" w:rsidR="0052442A" w:rsidRDefault="0012717E">
      <w:pPr>
        <w:pStyle w:val="11"/>
        <w:numPr>
          <w:ilvl w:val="0"/>
          <w:numId w:val="4"/>
        </w:numPr>
        <w:tabs>
          <w:tab w:val="left" w:pos="615"/>
        </w:tabs>
        <w:spacing w:line="211" w:lineRule="auto"/>
        <w:ind w:firstLine="0"/>
      </w:pPr>
      <w:bookmarkStart w:id="13" w:name="bookmark16"/>
      <w:bookmarkEnd w:id="13"/>
      <w:r>
        <w:t xml:space="preserve">Под </w:t>
      </w:r>
      <w:r>
        <w:rPr>
          <w:b/>
          <w:bCs/>
        </w:rPr>
        <w:t>надлежа</w:t>
      </w:r>
      <w:r>
        <w:rPr>
          <w:b/>
          <w:bCs/>
        </w:rPr>
        <w:t xml:space="preserve">щим исполнением обязательств </w:t>
      </w:r>
      <w:r>
        <w:t>по договорам подряда на подготовку проектной документации, заключенным с использованием конкурентных способов заключения договоров, понимается исполнение, отвечающее условиям заключенного договора подряда на подготовку проектно</w:t>
      </w:r>
      <w:r>
        <w:t>й документации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</w:t>
      </w:r>
      <w:r>
        <w:t>е обязательства включает выполнение условий о надлежащем предмете, времени, месте и способе исполнения;</w:t>
      </w:r>
    </w:p>
    <w:p w14:paraId="475FC306" w14:textId="77777777" w:rsidR="0052442A" w:rsidRDefault="0012717E">
      <w:pPr>
        <w:pStyle w:val="11"/>
        <w:numPr>
          <w:ilvl w:val="0"/>
          <w:numId w:val="5"/>
        </w:numPr>
        <w:tabs>
          <w:tab w:val="left" w:pos="658"/>
        </w:tabs>
        <w:spacing w:line="211" w:lineRule="auto"/>
        <w:ind w:firstLine="0"/>
      </w:pPr>
      <w:bookmarkStart w:id="14" w:name="bookmark17"/>
      <w:bookmarkEnd w:id="14"/>
      <w:r>
        <w:t xml:space="preserve">Под </w:t>
      </w:r>
      <w:r>
        <w:rPr>
          <w:b/>
          <w:bCs/>
        </w:rPr>
        <w:t>ненадлежащим исполнением договорного обязательства</w:t>
      </w:r>
      <w:r>
        <w:rPr>
          <w:b/>
          <w:bCs/>
          <w:vertAlign w:val="superscript"/>
        </w:rPr>
        <w:footnoteReference w:id="2"/>
      </w:r>
      <w:r>
        <w:rPr>
          <w:b/>
          <w:bCs/>
          <w:vertAlign w:val="superscript"/>
        </w:rPr>
        <w:t xml:space="preserve"> </w:t>
      </w:r>
      <w:r>
        <w:t>понимается просрочка (задержка) в исполнении обязательства (нарушение обусловленных договором с</w:t>
      </w:r>
      <w:r>
        <w:t>роков при исполнении обязательства в дальнейшем) и/или частичное исполнение объема обязательства;</w:t>
      </w:r>
    </w:p>
    <w:p w14:paraId="3FC99898" w14:textId="77777777" w:rsidR="0052442A" w:rsidRDefault="0012717E">
      <w:pPr>
        <w:pStyle w:val="11"/>
        <w:numPr>
          <w:ilvl w:val="0"/>
          <w:numId w:val="5"/>
        </w:numPr>
        <w:tabs>
          <w:tab w:val="left" w:pos="658"/>
        </w:tabs>
        <w:spacing w:line="216" w:lineRule="auto"/>
        <w:ind w:firstLine="0"/>
      </w:pPr>
      <w:bookmarkStart w:id="15" w:name="bookmark18"/>
      <w:bookmarkEnd w:id="15"/>
      <w:r>
        <w:t xml:space="preserve">Под </w:t>
      </w:r>
      <w:r>
        <w:rPr>
          <w:b/>
          <w:bCs/>
          <w:i/>
          <w:iCs/>
        </w:rPr>
        <w:t>неисполнением договорного обязательства</w:t>
      </w:r>
      <w:r>
        <w:t xml:space="preserve"> понимается неисполнение обязательства в целом (полное неисполнение основной обязанности, предусмотренной договором</w:t>
      </w:r>
      <w:r>
        <w:t>);</w:t>
      </w:r>
    </w:p>
    <w:p w14:paraId="33EFC9C6" w14:textId="3C638C4C" w:rsidR="0052442A" w:rsidRDefault="0012717E">
      <w:pPr>
        <w:pStyle w:val="11"/>
        <w:spacing w:line="216" w:lineRule="auto"/>
        <w:ind w:firstLine="520"/>
      </w:pPr>
      <w:r>
        <w:t>1</w:t>
      </w:r>
      <w:r>
        <w:t>.</w:t>
      </w:r>
      <w:r w:rsidR="00320D25" w:rsidRPr="00320D25">
        <w:t xml:space="preserve">4 </w:t>
      </w:r>
      <w:r>
        <w:t>Основными задачами при проведении контроля являются:</w:t>
      </w:r>
    </w:p>
    <w:p w14:paraId="111C8082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4" w:lineRule="auto"/>
        <w:ind w:firstLine="0"/>
      </w:pPr>
      <w:bookmarkStart w:id="16" w:name="bookmark19"/>
      <w:bookmarkEnd w:id="16"/>
      <w:r>
        <w:t xml:space="preserve">оценка соответствия члена Союза установленным требованиям законодательства Российской Федерации о градостроительной деятельности, о техническом регулировании, </w:t>
      </w:r>
      <w:r>
        <w:lastRenderedPageBreak/>
        <w:t>включая соблюдение членами Союза треб</w:t>
      </w:r>
      <w:r>
        <w:t>ований, установленных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</w:t>
      </w:r>
      <w:r>
        <w:t>низаций, основанных на членстве лиц, осуществляющих подготовку проектной документации (далее - нормативные требования);</w:t>
      </w:r>
    </w:p>
    <w:p w14:paraId="0D7AAAF6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4" w:lineRule="auto"/>
        <w:ind w:firstLine="0"/>
      </w:pPr>
      <w:bookmarkStart w:id="17" w:name="bookmark20"/>
      <w:bookmarkEnd w:id="17"/>
      <w:r>
        <w:t>оценка соответствия члена Союза установленным требованиям стандартов и внутренних документов Союза, условий членства в Союзе (далее - тр</w:t>
      </w:r>
      <w:r>
        <w:t>ебования внутренних документов Союза;</w:t>
      </w:r>
    </w:p>
    <w:p w14:paraId="35FD4788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4" w:lineRule="auto"/>
        <w:ind w:firstLine="0"/>
      </w:pPr>
      <w:bookmarkStart w:id="18" w:name="bookmark21"/>
      <w:bookmarkEnd w:id="18"/>
      <w:r>
        <w:t>выявление случаев неисполнения членом Союза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14:paraId="50ADEDAB" w14:textId="77777777" w:rsidR="0052442A" w:rsidRDefault="0012717E">
      <w:pPr>
        <w:pStyle w:val="11"/>
        <w:numPr>
          <w:ilvl w:val="0"/>
          <w:numId w:val="3"/>
        </w:numPr>
        <w:tabs>
          <w:tab w:val="left" w:pos="219"/>
        </w:tabs>
        <w:spacing w:line="214" w:lineRule="auto"/>
        <w:ind w:firstLine="0"/>
      </w:pPr>
      <w:bookmarkStart w:id="19" w:name="bookmark22"/>
      <w:bookmarkEnd w:id="19"/>
      <w:r>
        <w:t xml:space="preserve">оценка </w:t>
      </w:r>
      <w:r>
        <w:t>соответствия заявленного уровня ответственности члена Союза по исполнению им обязательств по договорам подряда на подготовку проектной документации, заключенным с использованием конкурентных способов заключения договоров, фактическому совокупному размеру о</w:t>
      </w:r>
      <w:r>
        <w:t>бязательств по таким договорам, заключенным в течение отчетного года (далее - требования к порядку обеспечения имущественной ответственности членов Союза);</w:t>
      </w:r>
    </w:p>
    <w:p w14:paraId="3B839AFA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4" w:lineRule="auto"/>
        <w:ind w:firstLine="0"/>
      </w:pPr>
      <w:bookmarkStart w:id="20" w:name="bookmark23"/>
      <w:bookmarkEnd w:id="20"/>
      <w:r>
        <w:t>сбор и обработка информационных данных о деятельности каждого члена Союза в целях осуществления анал</w:t>
      </w:r>
      <w:r>
        <w:t>иза деятельности своих членов;</w:t>
      </w:r>
    </w:p>
    <w:p w14:paraId="42DD4B34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4" w:lineRule="auto"/>
        <w:ind w:firstLine="0"/>
      </w:pPr>
      <w:bookmarkStart w:id="21" w:name="bookmark24"/>
      <w:bookmarkEnd w:id="21"/>
      <w:r>
        <w:t>выявление фактов несоответствия деятельности членов Союза нормативным требованиям, требованиям внутренних документов Союза и к порядку обеспечения имущественной ответственности членов Союза;</w:t>
      </w:r>
    </w:p>
    <w:p w14:paraId="3E9AD053" w14:textId="77777777" w:rsidR="0052442A" w:rsidRDefault="0012717E">
      <w:pPr>
        <w:pStyle w:val="11"/>
        <w:spacing w:line="214" w:lineRule="auto"/>
        <w:ind w:firstLine="0"/>
      </w:pPr>
      <w:r>
        <w:t>־ выработка рекомендаций и приняти</w:t>
      </w:r>
      <w:r>
        <w:t>я мер по улучшению качества деятельности членов Союза.</w:t>
      </w:r>
    </w:p>
    <w:p w14:paraId="5436D01A" w14:textId="0E754685" w:rsidR="0052442A" w:rsidRDefault="0012717E">
      <w:pPr>
        <w:pStyle w:val="11"/>
        <w:numPr>
          <w:ilvl w:val="0"/>
          <w:numId w:val="6"/>
        </w:numPr>
        <w:tabs>
          <w:tab w:val="left" w:pos="968"/>
        </w:tabs>
        <w:spacing w:line="214" w:lineRule="auto"/>
        <w:ind w:firstLine="520"/>
      </w:pPr>
      <w:bookmarkStart w:id="22" w:name="bookmark25"/>
      <w:bookmarkEnd w:id="22"/>
      <w:r>
        <w:t xml:space="preserve">Контроль за деятельностью членов Союза осуществляется </w:t>
      </w:r>
      <w:r w:rsidR="00320D25">
        <w:t>в порядке,</w:t>
      </w:r>
      <w:r>
        <w:t xml:space="preserve"> установленном статьей 55.13 Градостроительного кодекса РФ.</w:t>
      </w:r>
    </w:p>
    <w:p w14:paraId="55DA4804" w14:textId="78BA4200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4" w:lineRule="auto"/>
        <w:ind w:firstLine="0"/>
      </w:pPr>
      <w:bookmarkStart w:id="23" w:name="bookmark26"/>
      <w:bookmarkEnd w:id="23"/>
      <w:r>
        <w:t>Союз осуществляет контроль за деятельностью своих членов, выполняющих подготов</w:t>
      </w:r>
      <w:r>
        <w:t xml:space="preserve">ку проектной документации особо опасных, технически сложных и уникальных объектов </w:t>
      </w:r>
      <w:r w:rsidR="00320D25">
        <w:t>в соответствии с требованиями,</w:t>
      </w:r>
      <w:r>
        <w:t xml:space="preserve"> установленными Правительством Российской Федерации.</w:t>
      </w:r>
    </w:p>
    <w:p w14:paraId="3209A1BD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4" w:lineRule="auto"/>
        <w:ind w:firstLine="0"/>
      </w:pPr>
      <w:bookmarkStart w:id="24" w:name="bookmark27"/>
      <w:bookmarkEnd w:id="24"/>
      <w:r>
        <w:t>Если деятельность члена Союза связана с подготовкой проектной документации особо опасных, те</w:t>
      </w:r>
      <w:r>
        <w:t>хнически сложных и уникальных объектов, контроль Союза за деятельностью своих членов осуществляется, в том числе с применением риск -ориентированного подхода. При применении риск - ориентированного подхода расчет значений показателей, используемых для оцен</w:t>
      </w:r>
      <w:r>
        <w:t>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в соответствии с положениями раздела 10 настоящих Правил.</w:t>
      </w:r>
    </w:p>
    <w:p w14:paraId="368E92CC" w14:textId="39744F2C" w:rsidR="0052442A" w:rsidRDefault="0012717E">
      <w:pPr>
        <w:pStyle w:val="11"/>
        <w:spacing w:line="214" w:lineRule="auto"/>
        <w:ind w:firstLine="0"/>
      </w:pPr>
      <w:r>
        <w:t>Контроль за деятельностью членов Союза и лиц, всту</w:t>
      </w:r>
      <w:r>
        <w:t xml:space="preserve">пающих в члены </w:t>
      </w:r>
      <w:r w:rsidR="00320D25">
        <w:t>Союза,</w:t>
      </w:r>
      <w:r>
        <w:t xml:space="preserve"> осуществляется путем проведения проверок в соответствии с настоящими Правилами.</w:t>
      </w:r>
    </w:p>
    <w:p w14:paraId="16A26C5C" w14:textId="77777777" w:rsidR="0052442A" w:rsidRDefault="0012717E">
      <w:pPr>
        <w:pStyle w:val="11"/>
        <w:numPr>
          <w:ilvl w:val="0"/>
          <w:numId w:val="6"/>
        </w:numPr>
        <w:tabs>
          <w:tab w:val="left" w:pos="968"/>
        </w:tabs>
        <w:spacing w:line="214" w:lineRule="auto"/>
        <w:ind w:firstLine="520"/>
      </w:pPr>
      <w:bookmarkStart w:id="25" w:name="bookmark28"/>
      <w:bookmarkEnd w:id="25"/>
      <w:r>
        <w:t>Контроль выполнения членами Союза и лицами, вступающих в члены Союза нормативных требований, требований внутренних документов Союза и к порядку обеспечения</w:t>
      </w:r>
      <w:r>
        <w:t xml:space="preserve"> имущественной ответственности членов Союза, осуществляется специализированным органом Союза - Контрольным комитетом (далее - Комитет), деятельность которого регламентируется нормами законодательства Российской Федерации, Положением о Контрольном комитете </w:t>
      </w:r>
      <w:r>
        <w:t>и иными внутренними документами и Уставом Союза.</w:t>
      </w:r>
    </w:p>
    <w:p w14:paraId="7023CD80" w14:textId="77777777" w:rsidR="0052442A" w:rsidRDefault="0012717E">
      <w:pPr>
        <w:pStyle w:val="11"/>
        <w:numPr>
          <w:ilvl w:val="0"/>
          <w:numId w:val="6"/>
        </w:numPr>
        <w:tabs>
          <w:tab w:val="left" w:pos="1037"/>
        </w:tabs>
        <w:spacing w:line="214" w:lineRule="auto"/>
        <w:ind w:firstLine="580"/>
      </w:pPr>
      <w:bookmarkStart w:id="26" w:name="bookmark29"/>
      <w:bookmarkEnd w:id="26"/>
      <w:r>
        <w:t>Союзом проводятся следующие виды проверок:</w:t>
      </w:r>
    </w:p>
    <w:p w14:paraId="288F9DAA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4" w:lineRule="auto"/>
        <w:ind w:firstLine="0"/>
      </w:pPr>
      <w:bookmarkStart w:id="27" w:name="bookmark30"/>
      <w:bookmarkEnd w:id="27"/>
      <w:r>
        <w:t>проверки при приеме в члены Союза и изменении в реестровой записи, в том числе изменении уровня ответственности члена Союза по обязательствам, проводимые в соответс</w:t>
      </w:r>
      <w:r>
        <w:t>твии с положениями раздела 2 настоящих Правил;</w:t>
      </w:r>
    </w:p>
    <w:p w14:paraId="28A04778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4" w:lineRule="auto"/>
        <w:ind w:firstLine="0"/>
      </w:pPr>
      <w:bookmarkStart w:id="28" w:name="bookmark31"/>
      <w:bookmarkEnd w:id="28"/>
      <w:r>
        <w:t>проверки за исполнением членами Союза обязательств по договорам подряда на подготовку проектной документации, заключенным с использованием конкурентных способов заключения договоров, требований к порядку обесп</w:t>
      </w:r>
      <w:r>
        <w:t>ечения имущественной ответственности членов Союза, проводимые в соответствии с положениями раздела 3 настоящих Правил;</w:t>
      </w:r>
    </w:p>
    <w:p w14:paraId="27E28FBA" w14:textId="77777777" w:rsidR="0052442A" w:rsidRDefault="0012717E">
      <w:pPr>
        <w:pStyle w:val="11"/>
        <w:spacing w:line="211" w:lineRule="auto"/>
        <w:ind w:firstLine="0"/>
      </w:pPr>
      <w:r>
        <w:t>־ плановые проверки, проводимые в соответствии с положениями раздела 4 настоящих Правил;</w:t>
      </w:r>
    </w:p>
    <w:p w14:paraId="39B090D6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1" w:lineRule="auto"/>
        <w:ind w:firstLine="0"/>
      </w:pPr>
      <w:bookmarkStart w:id="29" w:name="bookmark32"/>
      <w:bookmarkEnd w:id="29"/>
      <w:r>
        <w:t xml:space="preserve">внеплановые проверки, проводимые в соответствии </w:t>
      </w:r>
      <w:r>
        <w:t>с положениями раздела 5 настоящих Правил.</w:t>
      </w:r>
    </w:p>
    <w:p w14:paraId="45B13969" w14:textId="77777777" w:rsidR="0052442A" w:rsidRDefault="0012717E">
      <w:pPr>
        <w:pStyle w:val="11"/>
        <w:numPr>
          <w:ilvl w:val="0"/>
          <w:numId w:val="6"/>
        </w:numPr>
        <w:tabs>
          <w:tab w:val="left" w:pos="1137"/>
        </w:tabs>
        <w:spacing w:line="211" w:lineRule="auto"/>
        <w:ind w:firstLine="680"/>
      </w:pPr>
      <w:bookmarkStart w:id="30" w:name="bookmark33"/>
      <w:bookmarkEnd w:id="30"/>
      <w:r>
        <w:lastRenderedPageBreak/>
        <w:t>Проверки проводятся в следующих формах:</w:t>
      </w:r>
    </w:p>
    <w:p w14:paraId="3AF4388D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1" w:lineRule="auto"/>
        <w:ind w:firstLine="0"/>
      </w:pPr>
      <w:bookmarkStart w:id="31" w:name="bookmark34"/>
      <w:bookmarkEnd w:id="31"/>
      <w:r>
        <w:t>камеральная (документарная) проверка, осуществляемая путем рассмотрения документов, представляемых членами Союза;</w:t>
      </w:r>
    </w:p>
    <w:p w14:paraId="462A5708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1" w:lineRule="auto"/>
        <w:ind w:firstLine="0"/>
      </w:pPr>
      <w:bookmarkStart w:id="32" w:name="bookmark35"/>
      <w:bookmarkEnd w:id="32"/>
      <w:r>
        <w:t xml:space="preserve">комплексная проверка, осуществляемая путем </w:t>
      </w:r>
      <w:r>
        <w:t>рассмотрения документов, представляемых членами Союза, а также путем проведения выездного контроля.</w:t>
      </w:r>
    </w:p>
    <w:p w14:paraId="6159B7A1" w14:textId="77777777" w:rsidR="0052442A" w:rsidRDefault="0012717E">
      <w:pPr>
        <w:pStyle w:val="11"/>
        <w:numPr>
          <w:ilvl w:val="0"/>
          <w:numId w:val="6"/>
        </w:numPr>
        <w:tabs>
          <w:tab w:val="left" w:pos="1148"/>
        </w:tabs>
        <w:spacing w:line="211" w:lineRule="auto"/>
        <w:ind w:firstLine="680"/>
      </w:pPr>
      <w:bookmarkStart w:id="33" w:name="bookmark36"/>
      <w:bookmarkEnd w:id="33"/>
      <w:r>
        <w:t xml:space="preserve">Член Союза обязан представить в Союз в срок, указанный в письме Дирекции Союза, направленном в соответствии с запросом Комитета, документы, необходимые для </w:t>
      </w:r>
      <w:r>
        <w:t>проведения проверки, либо представить мотивированный отказ от предоставления сведений.</w:t>
      </w:r>
    </w:p>
    <w:p w14:paraId="49E680A4" w14:textId="77777777" w:rsidR="0052442A" w:rsidRDefault="0012717E">
      <w:pPr>
        <w:pStyle w:val="11"/>
        <w:spacing w:line="211" w:lineRule="auto"/>
        <w:ind w:left="1040" w:firstLine="0"/>
      </w:pPr>
      <w:r>
        <w:t>Отказ от предоставления сведений может иметь следующий мотив:</w:t>
      </w:r>
    </w:p>
    <w:p w14:paraId="2AE1F5A9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1" w:lineRule="auto"/>
        <w:ind w:firstLine="0"/>
      </w:pPr>
      <w:bookmarkStart w:id="34" w:name="bookmark37"/>
      <w:bookmarkEnd w:id="34"/>
      <w:r>
        <w:t>запрашиваемые сведения не относятся к предмету контроля;</w:t>
      </w:r>
    </w:p>
    <w:p w14:paraId="399A2551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1" w:lineRule="auto"/>
        <w:ind w:firstLine="0"/>
      </w:pPr>
      <w:bookmarkStart w:id="35" w:name="bookmark38"/>
      <w:bookmarkEnd w:id="35"/>
      <w:r>
        <w:t xml:space="preserve">запрашиваемые сведения невозможно собрать в срок, </w:t>
      </w:r>
      <w:r>
        <w:t>указанный в запросе (в этом случае необходимо указать срок, в течение которого будут предоставлены запрашиваемые сведения).</w:t>
      </w:r>
    </w:p>
    <w:p w14:paraId="699674DB" w14:textId="77777777" w:rsidR="0052442A" w:rsidRDefault="0012717E">
      <w:pPr>
        <w:pStyle w:val="11"/>
        <w:spacing w:line="211" w:lineRule="auto"/>
        <w:ind w:firstLine="1040"/>
      </w:pPr>
      <w:r>
        <w:t>Указанные в запросе документы представляются в виде копий, заверенных печатью и подписью уполномоченного лица члена Союза. Не допуск</w:t>
      </w:r>
      <w:r>
        <w:t>ается требовать нотариального удостоверения копий документов, представляемых в Союз, если иное не предусмотрено законодательством РФ.</w:t>
      </w:r>
    </w:p>
    <w:p w14:paraId="4C0DECFE" w14:textId="77777777" w:rsidR="0052442A" w:rsidRDefault="0012717E">
      <w:pPr>
        <w:pStyle w:val="11"/>
        <w:numPr>
          <w:ilvl w:val="0"/>
          <w:numId w:val="6"/>
        </w:numPr>
        <w:tabs>
          <w:tab w:val="left" w:pos="1206"/>
        </w:tabs>
        <w:spacing w:line="211" w:lineRule="auto"/>
        <w:ind w:firstLine="620"/>
      </w:pPr>
      <w:bookmarkStart w:id="36" w:name="bookmark39"/>
      <w:bookmarkEnd w:id="36"/>
      <w:r>
        <w:t>Продолжительность проверки не должна превышать 30 (тридцати) календарных дней. В случае нарушения членом Союза сроков пред</w:t>
      </w:r>
      <w:r>
        <w:t>ставления документов, длительность проведения проверок, установленная настоящими Правилами, может быть увеличена по решению Председателя Комитета на срок задержки представления документов, но не более чем на 30 (тридцать календарных дней).</w:t>
      </w:r>
    </w:p>
    <w:p w14:paraId="4D49BAA4" w14:textId="3FF800B4" w:rsidR="0052442A" w:rsidRDefault="0012717E">
      <w:pPr>
        <w:pStyle w:val="11"/>
        <w:numPr>
          <w:ilvl w:val="0"/>
          <w:numId w:val="6"/>
        </w:numPr>
        <w:tabs>
          <w:tab w:val="left" w:pos="1206"/>
        </w:tabs>
        <w:spacing w:line="211" w:lineRule="auto"/>
        <w:ind w:firstLine="620"/>
      </w:pPr>
      <w:bookmarkStart w:id="37" w:name="bookmark40"/>
      <w:bookmarkEnd w:id="37"/>
      <w:r>
        <w:t>Проведение в соо</w:t>
      </w:r>
      <w:r>
        <w:t xml:space="preserve">тветствии с настоящими Правилами плановых проверок и внеплановых проверок, проверок при приеме в члены Союза и изменения уровня ответственности члена Союза по обязательствам, а </w:t>
      </w:r>
      <w:r w:rsidR="00320D25">
        <w:t>также</w:t>
      </w:r>
      <w:r>
        <w:t xml:space="preserve"> за исполнением членами Союза обязательств по договорам подряда на подгот</w:t>
      </w:r>
      <w:r>
        <w:t>овку проектной документации, заключенным с использованием конкурентных способов заключения договоров, требований к порядку обеспечения имущественной ответственности членов Союза, осуществляется за счет средств Союза.</w:t>
      </w:r>
    </w:p>
    <w:p w14:paraId="208A14C6" w14:textId="77777777" w:rsidR="0052442A" w:rsidRDefault="0012717E">
      <w:pPr>
        <w:pStyle w:val="11"/>
        <w:numPr>
          <w:ilvl w:val="0"/>
          <w:numId w:val="6"/>
        </w:numPr>
        <w:tabs>
          <w:tab w:val="left" w:pos="1206"/>
        </w:tabs>
        <w:spacing w:line="211" w:lineRule="auto"/>
        <w:ind w:firstLine="620"/>
      </w:pPr>
      <w:bookmarkStart w:id="38" w:name="bookmark41"/>
      <w:bookmarkEnd w:id="38"/>
      <w:r>
        <w:t>Союз несет перед членами Союза в порядк</w:t>
      </w:r>
      <w:r>
        <w:t>е, установленном законодательством Российской Федерации, ответственность за неправомерные действия членов Комитета, а также должностных лиц Союза, имеющих доступ к информации, полученной при проведении проверок.</w:t>
      </w:r>
    </w:p>
    <w:p w14:paraId="6C4BB8AF" w14:textId="77777777" w:rsidR="0052442A" w:rsidRDefault="0012717E">
      <w:pPr>
        <w:pStyle w:val="11"/>
        <w:numPr>
          <w:ilvl w:val="0"/>
          <w:numId w:val="6"/>
        </w:numPr>
        <w:tabs>
          <w:tab w:val="left" w:pos="1198"/>
        </w:tabs>
        <w:spacing w:after="220" w:line="211" w:lineRule="auto"/>
        <w:ind w:firstLine="620"/>
      </w:pPr>
      <w:bookmarkStart w:id="39" w:name="bookmark42"/>
      <w:bookmarkEnd w:id="39"/>
      <w:r>
        <w:t>Члены Союза несут ответственность за нарушен</w:t>
      </w:r>
      <w:r>
        <w:t>ие настоящих Правил в соответствии с Положение о системе мер дисциплинарного воздействия и порядке их применения.</w:t>
      </w:r>
    </w:p>
    <w:p w14:paraId="2FF8F9BA" w14:textId="510AA303" w:rsidR="0052442A" w:rsidRDefault="00320D25" w:rsidP="00320D25">
      <w:pPr>
        <w:pStyle w:val="11"/>
        <w:tabs>
          <w:tab w:val="left" w:pos="1122"/>
        </w:tabs>
        <w:spacing w:after="220" w:line="266" w:lineRule="auto"/>
        <w:ind w:firstLine="0"/>
        <w:jc w:val="center"/>
      </w:pPr>
      <w:bookmarkStart w:id="40" w:name="bookmark43"/>
      <w:bookmarkEnd w:id="40"/>
      <w:r w:rsidRPr="00320D25">
        <w:rPr>
          <w:b/>
          <w:bCs/>
        </w:rPr>
        <w:t>2.</w:t>
      </w:r>
      <w:r w:rsidR="0012717E">
        <w:rPr>
          <w:b/>
          <w:bCs/>
        </w:rPr>
        <w:t>Порядок осуществления проверок при приеме юридических лиц и</w:t>
      </w:r>
      <w:r w:rsidR="0012717E">
        <w:rPr>
          <w:b/>
          <w:bCs/>
        </w:rPr>
        <w:br/>
        <w:t>индивидуальных предпринимателей в члены Ассоциации, при изменении в</w:t>
      </w:r>
      <w:r w:rsidR="0012717E">
        <w:rPr>
          <w:b/>
          <w:bCs/>
        </w:rPr>
        <w:br/>
        <w:t>реестровой зап</w:t>
      </w:r>
      <w:r w:rsidR="0012717E">
        <w:rPr>
          <w:b/>
          <w:bCs/>
        </w:rPr>
        <w:t>иси, в том числе изменении уровня ответственности члена Союза по</w:t>
      </w:r>
      <w:r w:rsidR="0012717E">
        <w:rPr>
          <w:b/>
          <w:bCs/>
        </w:rPr>
        <w:br/>
        <w:t>обязательствам</w:t>
      </w:r>
    </w:p>
    <w:p w14:paraId="7D911AA0" w14:textId="77777777" w:rsidR="0052442A" w:rsidRDefault="0012717E">
      <w:pPr>
        <w:pStyle w:val="11"/>
        <w:numPr>
          <w:ilvl w:val="0"/>
          <w:numId w:val="7"/>
        </w:numPr>
        <w:tabs>
          <w:tab w:val="left" w:pos="1018"/>
        </w:tabs>
        <w:spacing w:line="216" w:lineRule="auto"/>
        <w:ind w:firstLine="540"/>
      </w:pPr>
      <w:bookmarkStart w:id="41" w:name="bookmark44"/>
      <w:bookmarkEnd w:id="41"/>
      <w:r>
        <w:t>При приеме юридических лиц и индивидуальных предпринимателей в члены Союза Комитет осуществляет контроль:</w:t>
      </w:r>
    </w:p>
    <w:p w14:paraId="42B765F5" w14:textId="77777777" w:rsidR="0052442A" w:rsidRDefault="0012717E">
      <w:pPr>
        <w:pStyle w:val="11"/>
        <w:numPr>
          <w:ilvl w:val="0"/>
          <w:numId w:val="8"/>
        </w:numPr>
        <w:tabs>
          <w:tab w:val="left" w:pos="586"/>
        </w:tabs>
        <w:spacing w:line="216" w:lineRule="auto"/>
        <w:ind w:firstLine="0"/>
      </w:pPr>
      <w:bookmarkStart w:id="42" w:name="bookmark45"/>
      <w:bookmarkEnd w:id="42"/>
      <w:r>
        <w:t xml:space="preserve">соответствия таких лиц требованиям </w:t>
      </w:r>
      <w:r>
        <w:t>Градостроительного кодекса Российской Федерации и иных федеральных законов, регулирующих деятельность саморегулируемых организаций;</w:t>
      </w:r>
    </w:p>
    <w:p w14:paraId="10CF4F55" w14:textId="77777777" w:rsidR="0052442A" w:rsidRDefault="0012717E">
      <w:pPr>
        <w:pStyle w:val="11"/>
        <w:numPr>
          <w:ilvl w:val="0"/>
          <w:numId w:val="9"/>
        </w:numPr>
        <w:tabs>
          <w:tab w:val="left" w:pos="666"/>
        </w:tabs>
        <w:spacing w:line="216" w:lineRule="auto"/>
        <w:ind w:firstLine="0"/>
      </w:pPr>
      <w:bookmarkStart w:id="43" w:name="bookmark46"/>
      <w:bookmarkEnd w:id="43"/>
      <w:r>
        <w:t>соответствия таких лиц требованиям Положения о членстве в Союзе, в том числе о требованиях к членам Союза, о размере, порядк</w:t>
      </w:r>
      <w:r>
        <w:t>е расчета и уплаты вступительного взноса, членских взносов;</w:t>
      </w:r>
    </w:p>
    <w:p w14:paraId="7C2335DC" w14:textId="77777777" w:rsidR="0052442A" w:rsidRDefault="0012717E">
      <w:pPr>
        <w:pStyle w:val="11"/>
        <w:numPr>
          <w:ilvl w:val="0"/>
          <w:numId w:val="9"/>
        </w:numPr>
        <w:tabs>
          <w:tab w:val="left" w:pos="666"/>
        </w:tabs>
        <w:spacing w:after="100" w:line="218" w:lineRule="auto"/>
        <w:ind w:firstLine="0"/>
      </w:pPr>
      <w:bookmarkStart w:id="44" w:name="bookmark47"/>
      <w:bookmarkEnd w:id="44"/>
      <w:r>
        <w:t>соответствия таких лиц требованиям квалификационных стандартов Союза и иных внутренних документов Союза.</w:t>
      </w:r>
    </w:p>
    <w:p w14:paraId="6DD62BC9" w14:textId="77777777" w:rsidR="0052442A" w:rsidRDefault="0012717E">
      <w:pPr>
        <w:pStyle w:val="11"/>
        <w:numPr>
          <w:ilvl w:val="0"/>
          <w:numId w:val="7"/>
        </w:numPr>
        <w:tabs>
          <w:tab w:val="left" w:pos="1062"/>
        </w:tabs>
        <w:spacing w:line="204" w:lineRule="auto"/>
        <w:ind w:firstLine="540"/>
      </w:pPr>
      <w:bookmarkStart w:id="45" w:name="bookmark48"/>
      <w:bookmarkEnd w:id="45"/>
      <w:r>
        <w:t>При приеме в члены Союза Комитетом осуществляется проверка и анализ предоставленных кандида</w:t>
      </w:r>
      <w:r>
        <w:t>том в члены Союза документов на их соответствие требованиям внутренних документов Союза. Для установления факта достоверности предоставленных данных допускается проверка с выездом в офис размещения администрации кандидата в члены Союза.</w:t>
      </w:r>
    </w:p>
    <w:p w14:paraId="4C5AA964" w14:textId="77777777" w:rsidR="0052442A" w:rsidRDefault="0012717E">
      <w:pPr>
        <w:pStyle w:val="11"/>
        <w:numPr>
          <w:ilvl w:val="0"/>
          <w:numId w:val="7"/>
        </w:numPr>
        <w:tabs>
          <w:tab w:val="left" w:pos="1062"/>
        </w:tabs>
        <w:spacing w:line="209" w:lineRule="auto"/>
        <w:ind w:firstLine="540"/>
      </w:pPr>
      <w:bookmarkStart w:id="46" w:name="bookmark49"/>
      <w:bookmarkEnd w:id="46"/>
      <w:r>
        <w:t>Порядок приема в чл</w:t>
      </w:r>
      <w:r>
        <w:t xml:space="preserve">ены Союза, а также перечень документов для приема в </w:t>
      </w:r>
      <w:r>
        <w:lastRenderedPageBreak/>
        <w:t>члены Союза, определены Положением о членстве в Союзе, в том числе о требованиях к членам Союза, о размере, порядке расчета и уплаты вступительного взноса, членских взносов.</w:t>
      </w:r>
    </w:p>
    <w:p w14:paraId="4D214668" w14:textId="77777777" w:rsidR="0052442A" w:rsidRDefault="0012717E">
      <w:pPr>
        <w:pStyle w:val="11"/>
        <w:numPr>
          <w:ilvl w:val="0"/>
          <w:numId w:val="7"/>
        </w:numPr>
        <w:tabs>
          <w:tab w:val="left" w:pos="1062"/>
        </w:tabs>
        <w:spacing w:line="209" w:lineRule="auto"/>
        <w:ind w:firstLine="540"/>
      </w:pPr>
      <w:bookmarkStart w:id="47" w:name="bookmark50"/>
      <w:bookmarkEnd w:id="47"/>
      <w:r>
        <w:t>Истребование для проверки и ан</w:t>
      </w:r>
      <w:r>
        <w:t>ализа от члена Союза иных документов, кроме документов, установленных действующим законодательством и документов, принятых в Союзе, не допускается.</w:t>
      </w:r>
    </w:p>
    <w:p w14:paraId="1096DEE6" w14:textId="77777777" w:rsidR="0052442A" w:rsidRDefault="0012717E">
      <w:pPr>
        <w:pStyle w:val="11"/>
        <w:numPr>
          <w:ilvl w:val="0"/>
          <w:numId w:val="7"/>
        </w:numPr>
        <w:tabs>
          <w:tab w:val="left" w:pos="1062"/>
        </w:tabs>
        <w:spacing w:line="209" w:lineRule="auto"/>
        <w:ind w:firstLine="540"/>
      </w:pPr>
      <w:bookmarkStart w:id="48" w:name="bookmark51"/>
      <w:bookmarkEnd w:id="48"/>
      <w:r>
        <w:t>По результатам проверки составляется акт проверки, который подписывается членом Комитета Союза и утверждаетс</w:t>
      </w:r>
      <w:r>
        <w:t>я на заседании Комитета. Акт проверки содержит заключение по предмету проверки о соответствии кандидата требованиям внутренних документов Союза или о его несоответствии указанным требованиям.</w:t>
      </w:r>
    </w:p>
    <w:p w14:paraId="06F1CC3D" w14:textId="77777777" w:rsidR="0052442A" w:rsidRDefault="0012717E">
      <w:pPr>
        <w:pStyle w:val="11"/>
        <w:spacing w:line="209" w:lineRule="auto"/>
        <w:ind w:firstLine="540"/>
      </w:pPr>
      <w:r>
        <w:t>Заключение Комитета о соответствии кандидата требованиям внутрен</w:t>
      </w:r>
      <w:r>
        <w:t>них документов Союза является основанием для принятия решения Советом Союза о приеме в члены Союза.</w:t>
      </w:r>
    </w:p>
    <w:p w14:paraId="0534F9DC" w14:textId="77777777" w:rsidR="0052442A" w:rsidRDefault="0012717E">
      <w:pPr>
        <w:pStyle w:val="11"/>
        <w:numPr>
          <w:ilvl w:val="0"/>
          <w:numId w:val="7"/>
        </w:numPr>
        <w:tabs>
          <w:tab w:val="left" w:pos="1062"/>
        </w:tabs>
        <w:spacing w:line="209" w:lineRule="auto"/>
        <w:ind w:firstLine="540"/>
      </w:pPr>
      <w:bookmarkStart w:id="49" w:name="bookmark52"/>
      <w:bookmarkEnd w:id="49"/>
      <w:r>
        <w:t>При обращении члена Союза с заявлением о внесении изменений в реестровую запись, об изменении уровня ответственности при выполнении проектных работ по догов</w:t>
      </w:r>
      <w:r>
        <w:t>ору подряда на подготовку проектной документации, заключенному с застройщиком, техническим заказчиком, лицом, ответственным за эксплуатацию здания, сооружения, или региональным оператором и (или) об изменении уровня ответственности члена Союза по исполнени</w:t>
      </w:r>
      <w:r>
        <w:t>ю обязательств по договорам подряда на подготовку проектной документации, заключаемым с использованием конкурентных способов заключения договоров, и поступлении в Комитет Союза документов члена Союза, связанных с изменением уровня ответственности члена Сою</w:t>
      </w:r>
      <w:r>
        <w:t xml:space="preserve">за по обязательствам, Комитетом осуществляется проверка и анализ предоставленных членом Ассоциации документов на их соответствие требованиям внутренних документов Ассоциации. Для установления факта достоверности предоставленных данных допускается проверка </w:t>
      </w:r>
      <w:r>
        <w:t>с выездом в офис размещения администрации члена Союза.</w:t>
      </w:r>
    </w:p>
    <w:p w14:paraId="5C621B27" w14:textId="77777777" w:rsidR="0052442A" w:rsidRDefault="0012717E">
      <w:pPr>
        <w:pStyle w:val="11"/>
        <w:numPr>
          <w:ilvl w:val="0"/>
          <w:numId w:val="7"/>
        </w:numPr>
        <w:tabs>
          <w:tab w:val="left" w:pos="1062"/>
        </w:tabs>
        <w:spacing w:line="209" w:lineRule="auto"/>
        <w:ind w:firstLine="540"/>
      </w:pPr>
      <w:bookmarkStart w:id="50" w:name="bookmark53"/>
      <w:bookmarkEnd w:id="50"/>
      <w:r>
        <w:t>По результатам проверки составляется акт проверки, который подписывается членом Комитета Союза и утверждается на заседании Комитета. Акт проверки содержит заключение по предмету проверки о соответствии</w:t>
      </w:r>
      <w:r>
        <w:t xml:space="preserve"> члена Союза требованиям внутренних документов Союза или о его несоответствии указанным требованиям.</w:t>
      </w:r>
    </w:p>
    <w:p w14:paraId="3AB883C8" w14:textId="77777777" w:rsidR="0052442A" w:rsidRDefault="0012717E">
      <w:pPr>
        <w:pStyle w:val="11"/>
        <w:spacing w:after="240" w:line="209" w:lineRule="auto"/>
        <w:ind w:firstLine="540"/>
      </w:pPr>
      <w:r>
        <w:t>Заключение Комитета о соответствии кандидата требованиям внутренних документов Союза является основанием для принятия решения Советом Союза об изменении ур</w:t>
      </w:r>
      <w:r>
        <w:t>овня ответственности члена Союза по обязательствам.</w:t>
      </w:r>
    </w:p>
    <w:p w14:paraId="53A4569D" w14:textId="77777777" w:rsidR="0052442A" w:rsidRDefault="0012717E" w:rsidP="00320D25">
      <w:pPr>
        <w:pStyle w:val="11"/>
        <w:numPr>
          <w:ilvl w:val="0"/>
          <w:numId w:val="1"/>
        </w:numPr>
        <w:tabs>
          <w:tab w:val="left" w:pos="1428"/>
        </w:tabs>
        <w:spacing w:after="200" w:line="269" w:lineRule="auto"/>
        <w:ind w:left="460" w:firstLine="600"/>
        <w:jc w:val="center"/>
      </w:pPr>
      <w:bookmarkStart w:id="51" w:name="bookmark54"/>
      <w:bookmarkEnd w:id="51"/>
      <w:r>
        <w:rPr>
          <w:b/>
          <w:bCs/>
        </w:rPr>
        <w:t>Порядок осуществления проверок за исполнением членами Союза обязательств по договорам подряда на подготовку проектной документации, заключенным с использованием конкурентных способов заключения договоров,</w:t>
      </w:r>
      <w:r>
        <w:rPr>
          <w:b/>
          <w:bCs/>
        </w:rPr>
        <w:t xml:space="preserve"> требований к порядку обеспечения имущественной ответственности членов Союза</w:t>
      </w:r>
    </w:p>
    <w:p w14:paraId="629B9F66" w14:textId="77777777" w:rsidR="0052442A" w:rsidRDefault="0012717E">
      <w:pPr>
        <w:pStyle w:val="11"/>
        <w:numPr>
          <w:ilvl w:val="0"/>
          <w:numId w:val="10"/>
        </w:numPr>
        <w:tabs>
          <w:tab w:val="left" w:pos="1062"/>
        </w:tabs>
        <w:spacing w:line="209" w:lineRule="auto"/>
        <w:ind w:firstLine="540"/>
      </w:pPr>
      <w:bookmarkStart w:id="52" w:name="bookmark55"/>
      <w:bookmarkEnd w:id="52"/>
      <w:r>
        <w:t xml:space="preserve">Проверки за исполнением членами Союза обязательств по договорам подряда на подготовку проектной документации, заключенным с использованием конкурентных способов </w:t>
      </w:r>
      <w:r>
        <w:t>заключения договоров, а также требований к порядку обеспечения имущественной ответственности членов Союза, проводятся не реже 1 (одного) раза в год в отношении каждого члена Союза, имеющего право участия в заключении договоров подряда на подготовку проектн</w:t>
      </w:r>
      <w:r>
        <w:t>ой документации с использованием конкурентных способов заключения договоров, в соответствии с Положением о проведении саморегулируемой организацией анализа деятельности своих членов на основании информации, предоставляемой ими в форме отчетов.</w:t>
      </w:r>
    </w:p>
    <w:p w14:paraId="073EE825" w14:textId="77777777" w:rsidR="0052442A" w:rsidRDefault="0012717E">
      <w:pPr>
        <w:pStyle w:val="11"/>
        <w:numPr>
          <w:ilvl w:val="0"/>
          <w:numId w:val="10"/>
        </w:numPr>
        <w:tabs>
          <w:tab w:val="left" w:pos="1062"/>
        </w:tabs>
        <w:spacing w:line="209" w:lineRule="auto"/>
        <w:ind w:firstLine="540"/>
      </w:pPr>
      <w:bookmarkStart w:id="53" w:name="bookmark56"/>
      <w:bookmarkEnd w:id="53"/>
      <w:r>
        <w:t xml:space="preserve">Проверка на </w:t>
      </w:r>
      <w:r>
        <w:t>соответствие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 проводится в соответствии с порядком уведомления, который устанавл</w:t>
      </w:r>
      <w:r>
        <w:t>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</w:t>
      </w:r>
    </w:p>
    <w:p w14:paraId="135C8FFD" w14:textId="77777777" w:rsidR="0052442A" w:rsidRDefault="0012717E">
      <w:pPr>
        <w:pStyle w:val="11"/>
        <w:spacing w:line="211" w:lineRule="auto"/>
        <w:ind w:firstLine="540"/>
      </w:pPr>
      <w:r>
        <w:t>При проведении расчета фактического с</w:t>
      </w:r>
      <w:r>
        <w:t xml:space="preserve">овокупного размера обязательств члена Союза по договорам подряда на подготовку проектной документации, заключенным таким членом с использованием конкурентных способов заключения договоров, в него не </w:t>
      </w:r>
      <w:r>
        <w:lastRenderedPageBreak/>
        <w:t>включаются обязательства, признанные сторонами по указанн</w:t>
      </w:r>
      <w:r>
        <w:t>ым договорам подряда исполненными на основании акта приемки результатов работ.</w:t>
      </w:r>
    </w:p>
    <w:p w14:paraId="610C8765" w14:textId="77777777" w:rsidR="0052442A" w:rsidRDefault="0012717E">
      <w:pPr>
        <w:pStyle w:val="11"/>
        <w:numPr>
          <w:ilvl w:val="0"/>
          <w:numId w:val="10"/>
        </w:numPr>
        <w:tabs>
          <w:tab w:val="left" w:pos="1054"/>
        </w:tabs>
        <w:spacing w:line="211" w:lineRule="auto"/>
        <w:ind w:firstLine="540"/>
      </w:pPr>
      <w:bookmarkStart w:id="54" w:name="bookmark57"/>
      <w:bookmarkEnd w:id="54"/>
      <w:r>
        <w:t xml:space="preserve">Так же Союзом в течение года в отношении каждого члена Союза, имеющего право участия в заключении договоров подряда на подготовку проектной документации с </w:t>
      </w:r>
      <w:r>
        <w:t>использованием конкурентных способов заключения договоров, проводиться</w:t>
      </w:r>
    </w:p>
    <w:p w14:paraId="38B30728" w14:textId="77777777" w:rsidR="0052442A" w:rsidRDefault="0012717E">
      <w:pPr>
        <w:pStyle w:val="11"/>
        <w:spacing w:line="211" w:lineRule="auto"/>
        <w:ind w:firstLine="0"/>
        <w:jc w:val="both"/>
      </w:pPr>
      <w:r>
        <w:t>постоянная проверка на предмет:</w:t>
      </w:r>
    </w:p>
    <w:p w14:paraId="47265EB9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1" w:lineRule="auto"/>
        <w:ind w:firstLine="0"/>
      </w:pPr>
      <w:bookmarkStart w:id="55" w:name="bookmark58"/>
      <w:bookmarkEnd w:id="55"/>
      <w:r>
        <w:t>соблюдения установленных внутренними документами Союза требований для заключения договора подряда на подготовку проектной документации с использованием к</w:t>
      </w:r>
      <w:r>
        <w:t>онкурентных способов заключения договоров (при наличии таких требований);</w:t>
      </w:r>
    </w:p>
    <w:p w14:paraId="260CCD34" w14:textId="77777777" w:rsidR="0052442A" w:rsidRDefault="0012717E">
      <w:pPr>
        <w:pStyle w:val="11"/>
        <w:spacing w:line="211" w:lineRule="auto"/>
        <w:ind w:firstLine="0"/>
      </w:pPr>
      <w:r>
        <w:t>־ исполнения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5429103E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1" w:lineRule="auto"/>
        <w:ind w:firstLine="0"/>
      </w:pPr>
      <w:bookmarkStart w:id="56" w:name="bookmark59"/>
      <w:bookmarkEnd w:id="56"/>
      <w:r>
        <w:t>соответствия фактическог</w:t>
      </w:r>
      <w:r>
        <w:t xml:space="preserve">о совокупного размера обязательств по договорам подряда на подготовку проектной документации, заключенным членом Союза с использованием конкурентных способов заключения договоров, предельному размеру обязательств, исходя из которого таким членом Союза был </w:t>
      </w:r>
      <w:r>
        <w:t>внесен взнос в компенсационный фонд обеспечения договорных обязательств.</w:t>
      </w:r>
    </w:p>
    <w:p w14:paraId="4660F7E2" w14:textId="77777777" w:rsidR="0052442A" w:rsidRDefault="0012717E">
      <w:pPr>
        <w:pStyle w:val="11"/>
        <w:spacing w:line="211" w:lineRule="auto"/>
        <w:ind w:firstLine="540"/>
      </w:pPr>
      <w:r>
        <w:t>Постоянная проверка начинается в день начала течения обязательства члена Союза и прекращается в день прекращения такого обязательства.</w:t>
      </w:r>
    </w:p>
    <w:p w14:paraId="11127F62" w14:textId="77777777" w:rsidR="0052442A" w:rsidRDefault="0012717E">
      <w:pPr>
        <w:pStyle w:val="11"/>
        <w:numPr>
          <w:ilvl w:val="0"/>
          <w:numId w:val="10"/>
        </w:numPr>
        <w:tabs>
          <w:tab w:val="left" w:pos="1054"/>
        </w:tabs>
        <w:spacing w:line="211" w:lineRule="auto"/>
        <w:ind w:firstLine="540"/>
      </w:pPr>
      <w:bookmarkStart w:id="57" w:name="bookmark60"/>
      <w:bookmarkEnd w:id="57"/>
      <w:r>
        <w:t>В случае, если в ходе проверки выявлены факты не</w:t>
      </w:r>
      <w:r>
        <w:t>надлежащего исполнения договорных обязательств либо неисполнения договорных обязательств, информация об этом направляется члену Союза с требованием представить в течение 7 (семи) календарных дней необходимые пояснения в письменной форме, а результаты прове</w:t>
      </w:r>
      <w:r>
        <w:t>рки направляются на рассмотрение в Дисциплинарный комитет Союза.</w:t>
      </w:r>
    </w:p>
    <w:p w14:paraId="0DAD83C2" w14:textId="77777777" w:rsidR="0052442A" w:rsidRDefault="0012717E">
      <w:pPr>
        <w:pStyle w:val="11"/>
        <w:numPr>
          <w:ilvl w:val="0"/>
          <w:numId w:val="10"/>
        </w:numPr>
        <w:tabs>
          <w:tab w:val="left" w:pos="1054"/>
        </w:tabs>
        <w:spacing w:after="300" w:line="211" w:lineRule="auto"/>
        <w:ind w:firstLine="540"/>
      </w:pPr>
      <w:bookmarkStart w:id="58" w:name="bookmark61"/>
      <w:bookmarkEnd w:id="58"/>
      <w:r>
        <w:t xml:space="preserve">В случае, если в ходе проверки выявляется факт несоответствия фактического совокупного размера обязательств по договорам подряда подготовки проектной документации, заключенным членом Союза с </w:t>
      </w:r>
      <w:r>
        <w:t xml:space="preserve">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обязательств, Комитет Союза по завершению проверки направляет </w:t>
      </w:r>
      <w:r>
        <w:t>в Дисциплинарный комитет Союза Акт проверки для последующего применения Дисциплинарным комитетом в отношении такого члена Союза меры дисциплинарного воздействия в виде предупреждения о превышении установленного уровня ответственности члена Союза по обязате</w:t>
      </w:r>
      <w:r>
        <w:t xml:space="preserve">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Союза, соответствующего фактическому совокупному размеру обязательств такого </w:t>
      </w:r>
      <w:r>
        <w:t>члена.</w:t>
      </w:r>
    </w:p>
    <w:p w14:paraId="54A462F2" w14:textId="77777777" w:rsidR="0052442A" w:rsidRDefault="0012717E">
      <w:pPr>
        <w:pStyle w:val="20"/>
        <w:keepNext/>
        <w:keepLines/>
        <w:numPr>
          <w:ilvl w:val="0"/>
          <w:numId w:val="1"/>
        </w:numPr>
        <w:tabs>
          <w:tab w:val="left" w:pos="360"/>
        </w:tabs>
        <w:spacing w:after="240"/>
      </w:pPr>
      <w:bookmarkStart w:id="59" w:name="bookmark64"/>
      <w:bookmarkStart w:id="60" w:name="bookmark62"/>
      <w:bookmarkStart w:id="61" w:name="bookmark63"/>
      <w:bookmarkStart w:id="62" w:name="bookmark65"/>
      <w:bookmarkEnd w:id="59"/>
      <w:r>
        <w:t>Порядок проведения плановых проверок</w:t>
      </w:r>
      <w:bookmarkEnd w:id="60"/>
      <w:bookmarkEnd w:id="61"/>
      <w:bookmarkEnd w:id="62"/>
    </w:p>
    <w:p w14:paraId="4174C3F7" w14:textId="77777777" w:rsidR="0052442A" w:rsidRDefault="0012717E">
      <w:pPr>
        <w:pStyle w:val="11"/>
        <w:numPr>
          <w:ilvl w:val="0"/>
          <w:numId w:val="11"/>
        </w:numPr>
        <w:tabs>
          <w:tab w:val="left" w:pos="1054"/>
        </w:tabs>
        <w:spacing w:line="209" w:lineRule="auto"/>
        <w:ind w:firstLine="540"/>
      </w:pPr>
      <w:bookmarkStart w:id="63" w:name="bookmark66"/>
      <w:bookmarkEnd w:id="63"/>
      <w:r>
        <w:t>Плановые проверки выполнения членом Союза требований внутренних документов Союза проводятся 1 (один) раз в год в отношении каждого члена Союза, в соответствии с годовым планом проверок, утверждаемым Советом Союза</w:t>
      </w:r>
    </w:p>
    <w:p w14:paraId="378EC3B5" w14:textId="77777777" w:rsidR="0052442A" w:rsidRDefault="0012717E">
      <w:pPr>
        <w:pStyle w:val="11"/>
        <w:spacing w:line="209" w:lineRule="auto"/>
        <w:ind w:firstLine="0"/>
      </w:pPr>
      <w:r>
        <w:t>не позднее 20 (двадцати) календарных дней после начала очередного календарного года. Совет Союза также принимает решение о внесении изменений в годовой план проверок.</w:t>
      </w:r>
    </w:p>
    <w:p w14:paraId="7AF6BC95" w14:textId="77777777" w:rsidR="0052442A" w:rsidRDefault="0012717E">
      <w:pPr>
        <w:pStyle w:val="11"/>
        <w:spacing w:line="209" w:lineRule="auto"/>
        <w:ind w:firstLine="540"/>
      </w:pPr>
      <w:r>
        <w:t xml:space="preserve">Плановая проверка проводится с периодичностью, определяемой, в том числе, с учетом </w:t>
      </w:r>
      <w:r>
        <w:t>результатов расчета значений показателей риск-ориентированного подхода.</w:t>
      </w:r>
    </w:p>
    <w:p w14:paraId="66ADAB6B" w14:textId="77777777" w:rsidR="0052442A" w:rsidRDefault="0012717E">
      <w:pPr>
        <w:pStyle w:val="11"/>
        <w:numPr>
          <w:ilvl w:val="0"/>
          <w:numId w:val="11"/>
        </w:numPr>
        <w:tabs>
          <w:tab w:val="left" w:pos="1054"/>
        </w:tabs>
        <w:spacing w:line="209" w:lineRule="auto"/>
        <w:ind w:firstLine="540"/>
      </w:pPr>
      <w:bookmarkStart w:id="64" w:name="bookmark67"/>
      <w:bookmarkEnd w:id="64"/>
      <w:r>
        <w:t>План проверок членов Союза в течение трех дней после его утверждения или внесения в него изменений размещается на официальном сайте Союза.</w:t>
      </w:r>
    </w:p>
    <w:p w14:paraId="2F961B7D" w14:textId="77777777" w:rsidR="0052442A" w:rsidRDefault="0012717E">
      <w:pPr>
        <w:pStyle w:val="11"/>
        <w:numPr>
          <w:ilvl w:val="0"/>
          <w:numId w:val="11"/>
        </w:numPr>
        <w:tabs>
          <w:tab w:val="left" w:pos="1054"/>
        </w:tabs>
        <w:spacing w:after="240" w:line="209" w:lineRule="auto"/>
        <w:ind w:firstLine="540"/>
      </w:pPr>
      <w:bookmarkStart w:id="65" w:name="bookmark68"/>
      <w:bookmarkEnd w:id="65"/>
      <w:r>
        <w:t>План проверок содержит в отношении каждого из</w:t>
      </w:r>
      <w:r>
        <w:t xml:space="preserve"> членов Союза указание даты начала плановой проверки, формы ее проведения и предмета проверки.</w:t>
      </w:r>
    </w:p>
    <w:p w14:paraId="2CA9484D" w14:textId="77777777" w:rsidR="0052442A" w:rsidRDefault="0012717E">
      <w:pPr>
        <w:pStyle w:val="11"/>
        <w:numPr>
          <w:ilvl w:val="0"/>
          <w:numId w:val="11"/>
        </w:numPr>
        <w:tabs>
          <w:tab w:val="left" w:pos="1042"/>
        </w:tabs>
        <w:spacing w:line="209" w:lineRule="auto"/>
        <w:ind w:firstLine="540"/>
      </w:pPr>
      <w:bookmarkStart w:id="66" w:name="bookmark69"/>
      <w:bookmarkEnd w:id="66"/>
      <w:r>
        <w:t>Ежегодному контролю в форме камеральной (документарной) проверки подлежит выполнение членами Союза требований внутренних документов Союза.</w:t>
      </w:r>
    </w:p>
    <w:p w14:paraId="75478D28" w14:textId="77777777" w:rsidR="0052442A" w:rsidRDefault="0012717E">
      <w:pPr>
        <w:pStyle w:val="11"/>
        <w:numPr>
          <w:ilvl w:val="0"/>
          <w:numId w:val="11"/>
        </w:numPr>
        <w:tabs>
          <w:tab w:val="left" w:pos="1042"/>
        </w:tabs>
        <w:spacing w:line="209" w:lineRule="auto"/>
        <w:ind w:firstLine="540"/>
      </w:pPr>
      <w:bookmarkStart w:id="67" w:name="bookmark70"/>
      <w:bookmarkEnd w:id="67"/>
      <w:r>
        <w:t>Полная плановая провер</w:t>
      </w:r>
      <w:r>
        <w:t>ка выполнения членом Союза нормативных требований и требований внутренних документов Союза, проводится не реже чем 1 (один) раз в 3 (три) года. Полная плановая проверка проводится в форме камеральной (документарной) или комплексной проверки.</w:t>
      </w:r>
    </w:p>
    <w:p w14:paraId="54FF39E8" w14:textId="77777777" w:rsidR="0052442A" w:rsidRDefault="0012717E">
      <w:pPr>
        <w:pStyle w:val="11"/>
        <w:numPr>
          <w:ilvl w:val="0"/>
          <w:numId w:val="11"/>
        </w:numPr>
        <w:tabs>
          <w:tab w:val="left" w:pos="1042"/>
        </w:tabs>
        <w:spacing w:line="209" w:lineRule="auto"/>
        <w:ind w:firstLine="540"/>
      </w:pPr>
      <w:bookmarkStart w:id="68" w:name="bookmark71"/>
      <w:bookmarkEnd w:id="68"/>
      <w:r>
        <w:t>Член Союза уве</w:t>
      </w:r>
      <w:r>
        <w:t>домляется о дате начала плановой проверки не менее чем за 14 (четырнадцать) календарных дней до указанной даты. Уведомление направляется на адрес, указанный в реестре членов Союза, либо по электронной почте (</w:t>
      </w:r>
      <w:proofErr w:type="spellStart"/>
      <w:r>
        <w:t>e-mail</w:t>
      </w:r>
      <w:proofErr w:type="spellEnd"/>
      <w:r>
        <w:t xml:space="preserve">). В уведомлении </w:t>
      </w:r>
      <w:r>
        <w:lastRenderedPageBreak/>
        <w:t>указываются предмет и фор</w:t>
      </w:r>
      <w:r>
        <w:t>ма проверки, а также приводится перечень документов, которые должны быть представлены членом Союза. Член Союза обязан представить в Союз документы согласно данному перечню не позднее указанной в уведомлении даты начала плановой проверки.</w:t>
      </w:r>
    </w:p>
    <w:p w14:paraId="5E5D5537" w14:textId="77777777" w:rsidR="0052442A" w:rsidRDefault="0012717E">
      <w:pPr>
        <w:pStyle w:val="11"/>
        <w:numPr>
          <w:ilvl w:val="0"/>
          <w:numId w:val="11"/>
        </w:numPr>
        <w:tabs>
          <w:tab w:val="left" w:pos="1042"/>
        </w:tabs>
        <w:spacing w:after="500" w:line="209" w:lineRule="auto"/>
        <w:ind w:firstLine="540"/>
      </w:pPr>
      <w:bookmarkStart w:id="69" w:name="bookmark72"/>
      <w:bookmarkEnd w:id="69"/>
      <w:r>
        <w:t xml:space="preserve">Продолжительность </w:t>
      </w:r>
      <w:r>
        <w:t>плановой проверки не должна превышать 21 (двадцать один) календарных дней, за исключением полной плановой проверки в комплексной форме, продолжительность которой не должна превышать 30 (тридцати) календарных дней.</w:t>
      </w:r>
    </w:p>
    <w:p w14:paraId="3D9B1A50" w14:textId="77777777" w:rsidR="0052442A" w:rsidRDefault="0012717E">
      <w:pPr>
        <w:pStyle w:val="20"/>
        <w:keepNext/>
        <w:keepLines/>
        <w:numPr>
          <w:ilvl w:val="0"/>
          <w:numId w:val="1"/>
        </w:numPr>
        <w:tabs>
          <w:tab w:val="left" w:pos="1800"/>
        </w:tabs>
        <w:spacing w:after="240" w:line="209" w:lineRule="auto"/>
        <w:ind w:left="1440"/>
        <w:jc w:val="left"/>
      </w:pPr>
      <w:bookmarkStart w:id="70" w:name="bookmark75"/>
      <w:bookmarkStart w:id="71" w:name="bookmark73"/>
      <w:bookmarkStart w:id="72" w:name="bookmark74"/>
      <w:bookmarkStart w:id="73" w:name="bookmark76"/>
      <w:bookmarkEnd w:id="70"/>
      <w:r>
        <w:t>Порядок проведения внеплановых проверок</w:t>
      </w:r>
      <w:bookmarkEnd w:id="71"/>
      <w:bookmarkEnd w:id="72"/>
      <w:bookmarkEnd w:id="73"/>
    </w:p>
    <w:p w14:paraId="024D4828" w14:textId="77777777" w:rsidR="0052442A" w:rsidRDefault="0012717E">
      <w:pPr>
        <w:pStyle w:val="11"/>
        <w:numPr>
          <w:ilvl w:val="0"/>
          <w:numId w:val="12"/>
        </w:numPr>
        <w:tabs>
          <w:tab w:val="left" w:pos="1042"/>
        </w:tabs>
        <w:spacing w:line="209" w:lineRule="auto"/>
        <w:ind w:firstLine="520"/>
      </w:pPr>
      <w:bookmarkStart w:id="74" w:name="bookmark77"/>
      <w:bookmarkEnd w:id="74"/>
      <w:r>
        <w:t>Ос</w:t>
      </w:r>
      <w:r>
        <w:t>нованием для назначения внеплановой проверки является:</w:t>
      </w:r>
    </w:p>
    <w:p w14:paraId="69D5D8E1" w14:textId="77777777" w:rsidR="0052442A" w:rsidRDefault="0012717E">
      <w:pPr>
        <w:pStyle w:val="11"/>
        <w:numPr>
          <w:ilvl w:val="0"/>
          <w:numId w:val="13"/>
        </w:numPr>
        <w:tabs>
          <w:tab w:val="left" w:pos="658"/>
        </w:tabs>
        <w:spacing w:line="209" w:lineRule="auto"/>
        <w:ind w:firstLine="0"/>
      </w:pPr>
      <w:bookmarkStart w:id="75" w:name="bookmark78"/>
      <w:bookmarkEnd w:id="75"/>
      <w:r>
        <w:t>представление Ответственного секретаря Дисциплинарного комитета Союза о необходимости проверки деятельности члена Союза в связи с получением жалоб (обращений, заявлений) от физических и юридических лиц</w:t>
      </w:r>
      <w:r>
        <w:t>, органов государственной власти и органов местного самоуправления о нарушениях, относящихся к предмету контроля Союза;</w:t>
      </w:r>
    </w:p>
    <w:p w14:paraId="4BEE3257" w14:textId="77777777" w:rsidR="0052442A" w:rsidRDefault="0012717E">
      <w:pPr>
        <w:pStyle w:val="11"/>
        <w:numPr>
          <w:ilvl w:val="0"/>
          <w:numId w:val="13"/>
        </w:numPr>
        <w:tabs>
          <w:tab w:val="left" w:pos="658"/>
        </w:tabs>
        <w:spacing w:line="209" w:lineRule="auto"/>
        <w:ind w:firstLine="0"/>
      </w:pPr>
      <w:bookmarkStart w:id="76" w:name="bookmark79"/>
      <w:bookmarkEnd w:id="76"/>
      <w:r>
        <w:t>представление Директора Союза о необходимости проверки деятельности члена Союза при наличии информации о несоблюдении ею требований внут</w:t>
      </w:r>
      <w:r>
        <w:t>ренних документов Союза.</w:t>
      </w:r>
    </w:p>
    <w:p w14:paraId="0C0E1517" w14:textId="77777777" w:rsidR="0052442A" w:rsidRDefault="0012717E">
      <w:pPr>
        <w:pStyle w:val="11"/>
        <w:numPr>
          <w:ilvl w:val="0"/>
          <w:numId w:val="13"/>
        </w:numPr>
        <w:tabs>
          <w:tab w:val="left" w:pos="658"/>
        </w:tabs>
        <w:spacing w:line="209" w:lineRule="auto"/>
        <w:ind w:firstLine="0"/>
      </w:pPr>
      <w:bookmarkStart w:id="77" w:name="bookmark80"/>
      <w:bookmarkEnd w:id="77"/>
      <w:r>
        <w:t>получение документов по устранению членом Союза нарушений, по которым были приняты меры дисциплинарного воздействия;</w:t>
      </w:r>
    </w:p>
    <w:p w14:paraId="134BD2E6" w14:textId="77777777" w:rsidR="0052442A" w:rsidRDefault="0012717E">
      <w:pPr>
        <w:pStyle w:val="11"/>
        <w:numPr>
          <w:ilvl w:val="0"/>
          <w:numId w:val="13"/>
        </w:numPr>
        <w:tabs>
          <w:tab w:val="left" w:pos="662"/>
        </w:tabs>
        <w:spacing w:line="209" w:lineRule="auto"/>
        <w:ind w:firstLine="0"/>
      </w:pPr>
      <w:bookmarkStart w:id="78" w:name="bookmark81"/>
      <w:bookmarkEnd w:id="78"/>
      <w:r>
        <w:t xml:space="preserve">наступление установленных сроков контроля в связи с предписанием об обязательном устранении нарушений или </w:t>
      </w:r>
      <w:r>
        <w:t>приостановлением права осуществлять подготовку проектной документации.</w:t>
      </w:r>
    </w:p>
    <w:p w14:paraId="5EE6763A" w14:textId="77777777" w:rsidR="0052442A" w:rsidRDefault="0012717E">
      <w:pPr>
        <w:pStyle w:val="11"/>
        <w:numPr>
          <w:ilvl w:val="0"/>
          <w:numId w:val="12"/>
        </w:numPr>
        <w:tabs>
          <w:tab w:val="left" w:pos="1042"/>
        </w:tabs>
        <w:spacing w:line="209" w:lineRule="auto"/>
        <w:ind w:firstLine="540"/>
      </w:pPr>
      <w:bookmarkStart w:id="79" w:name="bookmark82"/>
      <w:bookmarkEnd w:id="79"/>
      <w:r>
        <w:t>При проведении внеплановой проверки по основаниям, указанным в подпунктах 5.1.1., 5.1.2. пункта 5.1. настоящего раздела, контролю подлежат только сведения о фактах, указанные в представ</w:t>
      </w:r>
      <w:r>
        <w:t>лении Ответственного секретаря Дисциплинарного комитета Союза или Директора Союза (далее - представление). Жалобы (обращения, заявления), не позволяющие установить лицо, обратившееся в Ассоциацию, а также не содержащие сведений о нарушении требований, явля</w:t>
      </w:r>
      <w:r>
        <w:t>ющихся предметом контроля Союза, не могут служить основанием для проведения внеплановой проверки.</w:t>
      </w:r>
    </w:p>
    <w:p w14:paraId="4A528382" w14:textId="77777777" w:rsidR="0052442A" w:rsidRDefault="0012717E">
      <w:pPr>
        <w:pStyle w:val="11"/>
        <w:numPr>
          <w:ilvl w:val="0"/>
          <w:numId w:val="12"/>
        </w:numPr>
        <w:tabs>
          <w:tab w:val="left" w:pos="1042"/>
        </w:tabs>
        <w:spacing w:line="209" w:lineRule="auto"/>
        <w:ind w:firstLine="540"/>
      </w:pPr>
      <w:bookmarkStart w:id="80" w:name="bookmark83"/>
      <w:bookmarkEnd w:id="80"/>
      <w:r>
        <w:t>При проведении внеплановой проверки по основанию, указанному в подпункте 5.1.З., 5.1.4. пункта 5.1 настоящего раздела, контролю подлежат только требования, ук</w:t>
      </w:r>
      <w:r>
        <w:t>азанные в соответствующем предписании об обязательном устранении нарушений или требования, в связи с нарушением которых было приостановлено право осуществлять подготовку проектной документации.</w:t>
      </w:r>
    </w:p>
    <w:p w14:paraId="5A8BF668" w14:textId="77777777" w:rsidR="0052442A" w:rsidRDefault="0012717E">
      <w:pPr>
        <w:pStyle w:val="11"/>
        <w:numPr>
          <w:ilvl w:val="0"/>
          <w:numId w:val="12"/>
        </w:numPr>
        <w:tabs>
          <w:tab w:val="left" w:pos="1042"/>
        </w:tabs>
        <w:spacing w:line="209" w:lineRule="auto"/>
        <w:ind w:firstLine="540"/>
      </w:pPr>
      <w:bookmarkStart w:id="81" w:name="bookmark84"/>
      <w:bookmarkEnd w:id="81"/>
      <w:r>
        <w:t>Внеплановая проверка осуществляется в форме, определяемой Коми</w:t>
      </w:r>
      <w:r>
        <w:t>тетом в соответствии с содержанием полученного представления, а также соответствии с характером выявленного или предполагаемого нарушения.</w:t>
      </w:r>
    </w:p>
    <w:p w14:paraId="4678C800" w14:textId="77777777" w:rsidR="0052442A" w:rsidRDefault="0012717E">
      <w:pPr>
        <w:pStyle w:val="11"/>
        <w:numPr>
          <w:ilvl w:val="0"/>
          <w:numId w:val="12"/>
        </w:numPr>
        <w:tabs>
          <w:tab w:val="left" w:pos="1042"/>
        </w:tabs>
        <w:spacing w:line="209" w:lineRule="auto"/>
        <w:ind w:firstLine="540"/>
      </w:pPr>
      <w:bookmarkStart w:id="82" w:name="bookmark85"/>
      <w:bookmarkEnd w:id="82"/>
      <w:r>
        <w:t>При проведении внеплановой проверки у члена Союза запрашиваются только те документы, рассмотрение которых непосредств</w:t>
      </w:r>
      <w:r>
        <w:t>енно необходимо в соответствии с предметом контроля. Член Союза уведомляется о дате начала внеплановой проверки оперативными средствами связи не позднее чем за 2 (два) рабочих дня до указанной даты. Уведомление направляется курьерской почтой на адрес, указ</w:t>
      </w:r>
      <w:r>
        <w:t>анный в реестре членов Союза, либо по электронной почте (</w:t>
      </w:r>
      <w:proofErr w:type="spellStart"/>
      <w:r>
        <w:t>e-mail</w:t>
      </w:r>
      <w:proofErr w:type="spellEnd"/>
      <w:r>
        <w:t>). В уведомлении указывается форма проверки, сведения о фактах, подлежащих контролю, список запрашиваемых документов, а также иная информация, необходимая члену Союза для выполнения требований,</w:t>
      </w:r>
      <w:r>
        <w:t xml:space="preserve"> связанных с проведением данной проверки.</w:t>
      </w:r>
    </w:p>
    <w:p w14:paraId="229D8823" w14:textId="1AAF7BAD" w:rsidR="0052442A" w:rsidRDefault="0012717E">
      <w:pPr>
        <w:pStyle w:val="11"/>
        <w:numPr>
          <w:ilvl w:val="0"/>
          <w:numId w:val="12"/>
        </w:numPr>
        <w:tabs>
          <w:tab w:val="left" w:pos="1061"/>
        </w:tabs>
        <w:spacing w:after="500" w:line="209" w:lineRule="auto"/>
        <w:ind w:firstLine="540"/>
      </w:pPr>
      <w:bookmarkStart w:id="83" w:name="bookmark86"/>
      <w:bookmarkEnd w:id="83"/>
      <w:r>
        <w:t xml:space="preserve">Продолжительность внеплановой проверки определяется Комитетом </w:t>
      </w:r>
      <w:proofErr w:type="gramStart"/>
      <w:r>
        <w:t>в :</w:t>
      </w:r>
      <w:proofErr w:type="gramEnd"/>
      <w:r>
        <w:t xml:space="preserve"> </w:t>
      </w:r>
      <w:r w:rsidR="00320D25">
        <w:t>соответствии</w:t>
      </w:r>
      <w:r>
        <w:t xml:space="preserve"> с содержанием полученного представления, а также в соответствии с актером выявленного или предполагаемого нарушения, но не должна превыш</w:t>
      </w:r>
      <w:r>
        <w:t>ать 30 тридцати) календарных дней. Продолжительность внеплановой проверки на основании жалобы (обращения, заявления) определяются в соответствии с Положением о процедуре рассмотрения жалоб на действия (бездействия) членов саморегулируемой организации и ины</w:t>
      </w:r>
      <w:r>
        <w:t>х обращений, поступивших в саморегулируемую организацию.</w:t>
      </w:r>
    </w:p>
    <w:p w14:paraId="107C5BEB" w14:textId="77777777" w:rsidR="0052442A" w:rsidRDefault="0012717E">
      <w:pPr>
        <w:pStyle w:val="20"/>
        <w:keepNext/>
        <w:keepLines/>
        <w:numPr>
          <w:ilvl w:val="0"/>
          <w:numId w:val="1"/>
        </w:numPr>
        <w:tabs>
          <w:tab w:val="left" w:pos="356"/>
        </w:tabs>
        <w:spacing w:after="220" w:line="209" w:lineRule="auto"/>
      </w:pPr>
      <w:bookmarkStart w:id="84" w:name="bookmark89"/>
      <w:bookmarkStart w:id="85" w:name="bookmark87"/>
      <w:bookmarkStart w:id="86" w:name="bookmark88"/>
      <w:bookmarkStart w:id="87" w:name="bookmark90"/>
      <w:bookmarkEnd w:id="84"/>
      <w:r>
        <w:lastRenderedPageBreak/>
        <w:t>Камеральные (документарные) проверки</w:t>
      </w:r>
      <w:bookmarkEnd w:id="85"/>
      <w:bookmarkEnd w:id="86"/>
      <w:bookmarkEnd w:id="87"/>
    </w:p>
    <w:p w14:paraId="0DDEF880" w14:textId="77777777" w:rsidR="0052442A" w:rsidRDefault="0012717E">
      <w:pPr>
        <w:pStyle w:val="11"/>
        <w:numPr>
          <w:ilvl w:val="0"/>
          <w:numId w:val="14"/>
        </w:numPr>
        <w:tabs>
          <w:tab w:val="left" w:pos="1061"/>
        </w:tabs>
        <w:spacing w:line="209" w:lineRule="auto"/>
        <w:ind w:firstLine="540"/>
      </w:pPr>
      <w:bookmarkStart w:id="88" w:name="bookmark91"/>
      <w:bookmarkEnd w:id="88"/>
      <w:r>
        <w:t>Камеральная (документарная) проверка осуществляется путем рассмотрения документов, представляемых членом Союза в Союз, с целью подтверждения соблюдения им нормати</w:t>
      </w:r>
      <w:r>
        <w:t>вных требований и требований внутренних документов Союза.</w:t>
      </w:r>
    </w:p>
    <w:p w14:paraId="3DF00DD5" w14:textId="77777777" w:rsidR="0052442A" w:rsidRDefault="0012717E">
      <w:pPr>
        <w:pStyle w:val="11"/>
        <w:numPr>
          <w:ilvl w:val="0"/>
          <w:numId w:val="14"/>
        </w:numPr>
        <w:tabs>
          <w:tab w:val="left" w:pos="1061"/>
        </w:tabs>
        <w:spacing w:line="209" w:lineRule="auto"/>
        <w:ind w:firstLine="540"/>
      </w:pPr>
      <w:bookmarkStart w:id="89" w:name="bookmark92"/>
      <w:bookmarkEnd w:id="89"/>
      <w:r>
        <w:t>При проведении камеральной (документарной) проверки проверяются сведения, содержащиеся в документах, представленных членом Союза в соответствии с запросами Комитета.</w:t>
      </w:r>
    </w:p>
    <w:p w14:paraId="3D4F7B39" w14:textId="77777777" w:rsidR="0052442A" w:rsidRDefault="0012717E">
      <w:pPr>
        <w:pStyle w:val="11"/>
        <w:numPr>
          <w:ilvl w:val="0"/>
          <w:numId w:val="14"/>
        </w:numPr>
        <w:tabs>
          <w:tab w:val="left" w:pos="1061"/>
        </w:tabs>
        <w:spacing w:line="209" w:lineRule="auto"/>
        <w:ind w:firstLine="540"/>
      </w:pPr>
      <w:bookmarkStart w:id="90" w:name="bookmark93"/>
      <w:bookmarkEnd w:id="90"/>
      <w:r>
        <w:t xml:space="preserve">Член Союза вправе представить в </w:t>
      </w:r>
      <w:r>
        <w:t>Комитет дополнительные документы, подтверждающие соблюдение нормативных требований и требований внутренних документов Союза. Указанные документы должны быть учтены Комитетом при принятии решения по результатам проверки.</w:t>
      </w:r>
    </w:p>
    <w:p w14:paraId="2D370131" w14:textId="77777777" w:rsidR="0052442A" w:rsidRDefault="0012717E">
      <w:pPr>
        <w:pStyle w:val="11"/>
        <w:numPr>
          <w:ilvl w:val="0"/>
          <w:numId w:val="14"/>
        </w:numPr>
        <w:tabs>
          <w:tab w:val="left" w:pos="1061"/>
        </w:tabs>
        <w:spacing w:line="209" w:lineRule="auto"/>
        <w:ind w:firstLine="540"/>
      </w:pPr>
      <w:bookmarkStart w:id="91" w:name="bookmark94"/>
      <w:bookmarkEnd w:id="91"/>
      <w:r>
        <w:t>В случае задержки представления член</w:t>
      </w:r>
      <w:r>
        <w:t>ом Союза документов в соответствии с запросом Комитета датой начала камеральной (документарной) проверки является дата представления указанных документов.</w:t>
      </w:r>
    </w:p>
    <w:p w14:paraId="32357338" w14:textId="77777777" w:rsidR="0052442A" w:rsidRDefault="0012717E">
      <w:pPr>
        <w:pStyle w:val="11"/>
        <w:numPr>
          <w:ilvl w:val="0"/>
          <w:numId w:val="14"/>
        </w:numPr>
        <w:tabs>
          <w:tab w:val="left" w:pos="1061"/>
        </w:tabs>
        <w:spacing w:line="209" w:lineRule="auto"/>
        <w:ind w:firstLine="540"/>
      </w:pPr>
      <w:bookmarkStart w:id="92" w:name="bookmark95"/>
      <w:bookmarkEnd w:id="92"/>
      <w:r>
        <w:t>По результатам рассмотрения документов, представленных членом Союза, Комитет до окончания срока прове</w:t>
      </w:r>
      <w:r>
        <w:t>рки вправе осуществлять дополнительные запросы документов или принять решение о проведении проверки в комплексной форме.</w:t>
      </w:r>
    </w:p>
    <w:p w14:paraId="4791EA95" w14:textId="77777777" w:rsidR="0052442A" w:rsidRDefault="0012717E">
      <w:pPr>
        <w:pStyle w:val="11"/>
        <w:numPr>
          <w:ilvl w:val="0"/>
          <w:numId w:val="14"/>
        </w:numPr>
        <w:tabs>
          <w:tab w:val="left" w:pos="1061"/>
        </w:tabs>
        <w:spacing w:line="209" w:lineRule="auto"/>
        <w:ind w:firstLine="540"/>
      </w:pPr>
      <w:bookmarkStart w:id="93" w:name="bookmark96"/>
      <w:bookmarkEnd w:id="93"/>
      <w:r>
        <w:t>Продолжительность камеральной (документарной) проверки не должна превышать 20 (двадцать) календарных дней, за исключением случаев, пред</w:t>
      </w:r>
      <w:r>
        <w:t>усмотренных настоящими Правилами.</w:t>
      </w:r>
    </w:p>
    <w:p w14:paraId="43E13BA8" w14:textId="77777777" w:rsidR="0052442A" w:rsidRDefault="0012717E">
      <w:pPr>
        <w:pStyle w:val="11"/>
        <w:numPr>
          <w:ilvl w:val="0"/>
          <w:numId w:val="14"/>
        </w:numPr>
        <w:tabs>
          <w:tab w:val="left" w:pos="1061"/>
        </w:tabs>
        <w:spacing w:line="209" w:lineRule="auto"/>
        <w:ind w:firstLine="540"/>
      </w:pPr>
      <w:bookmarkStart w:id="94" w:name="bookmark97"/>
      <w:bookmarkEnd w:id="94"/>
      <w:r>
        <w:t>В том случае, если при проведении камеральной (документарной) проверки Союза не получены документы в соответствии с запросом Комитета по истечении 5</w:t>
      </w:r>
    </w:p>
    <w:p w14:paraId="32BA7A98" w14:textId="77777777" w:rsidR="0052442A" w:rsidRDefault="0012717E">
      <w:pPr>
        <w:pStyle w:val="11"/>
        <w:numPr>
          <w:ilvl w:val="0"/>
          <w:numId w:val="14"/>
        </w:numPr>
        <w:tabs>
          <w:tab w:val="left" w:pos="1061"/>
        </w:tabs>
        <w:spacing w:line="209" w:lineRule="auto"/>
        <w:ind w:firstLine="540"/>
      </w:pPr>
      <w:bookmarkStart w:id="95" w:name="bookmark98"/>
      <w:bookmarkEnd w:id="95"/>
      <w:r>
        <w:t>(пяти) рабочих дней после в установленного срока, Комитет вправе рассмотр</w:t>
      </w:r>
      <w:r>
        <w:t>еть вопрос о проведении проверки в комплексной форме. В случае принятия решения о проведении проверки в комплексной форме срок данной проверки, определенный пунктом 7.7. раздела 7, начинается с даты принятия указанного решения.</w:t>
      </w:r>
    </w:p>
    <w:p w14:paraId="36FDD589" w14:textId="77777777" w:rsidR="0052442A" w:rsidRDefault="0012717E">
      <w:pPr>
        <w:pStyle w:val="11"/>
        <w:numPr>
          <w:ilvl w:val="0"/>
          <w:numId w:val="14"/>
        </w:numPr>
        <w:tabs>
          <w:tab w:val="left" w:pos="1061"/>
        </w:tabs>
        <w:spacing w:after="500" w:line="214" w:lineRule="auto"/>
        <w:ind w:firstLine="540"/>
      </w:pPr>
      <w:bookmarkStart w:id="96" w:name="bookmark99"/>
      <w:bookmarkEnd w:id="96"/>
      <w:r>
        <w:t>Непредставление в Ассоциацию</w:t>
      </w:r>
      <w:r>
        <w:t xml:space="preserve"> документов в соответствии с запросом Комитета, приравнивается к нарушению правил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</w:t>
      </w:r>
      <w:r>
        <w:t>ия.</w:t>
      </w:r>
    </w:p>
    <w:p w14:paraId="42F5CB13" w14:textId="77777777" w:rsidR="0052442A" w:rsidRDefault="0012717E">
      <w:pPr>
        <w:pStyle w:val="20"/>
        <w:keepNext/>
        <w:keepLines/>
        <w:numPr>
          <w:ilvl w:val="0"/>
          <w:numId w:val="1"/>
        </w:numPr>
        <w:tabs>
          <w:tab w:val="left" w:pos="356"/>
        </w:tabs>
        <w:spacing w:after="220"/>
      </w:pPr>
      <w:bookmarkStart w:id="97" w:name="bookmark102"/>
      <w:bookmarkStart w:id="98" w:name="bookmark100"/>
      <w:bookmarkStart w:id="99" w:name="bookmark101"/>
      <w:bookmarkStart w:id="100" w:name="bookmark103"/>
      <w:bookmarkEnd w:id="97"/>
      <w:r>
        <w:t>Комплексные проверки</w:t>
      </w:r>
      <w:bookmarkEnd w:id="98"/>
      <w:bookmarkEnd w:id="99"/>
      <w:bookmarkEnd w:id="100"/>
    </w:p>
    <w:p w14:paraId="6A7C7DBA" w14:textId="77777777" w:rsidR="0052442A" w:rsidRDefault="0012717E">
      <w:pPr>
        <w:pStyle w:val="11"/>
        <w:numPr>
          <w:ilvl w:val="0"/>
          <w:numId w:val="15"/>
        </w:numPr>
        <w:tabs>
          <w:tab w:val="left" w:pos="1061"/>
        </w:tabs>
        <w:spacing w:line="211" w:lineRule="auto"/>
        <w:ind w:firstLine="540"/>
      </w:pPr>
      <w:bookmarkStart w:id="101" w:name="bookmark104"/>
      <w:bookmarkEnd w:id="101"/>
      <w:r>
        <w:t>Комплексная проверка осуществляется путем рассмотрения документов, представляемых членом Союза в Союз, а также путем проведения выездного контроля ־ выезда уполномоченных представителей членов Комитета к месту нахождения члена Союза и/или к месту осуществл</w:t>
      </w:r>
      <w:r>
        <w:t>ения им своей деятельности (объекта строительства проверяемого члена Союза, в отношении которого член Союза подготовил проектную документацию, а также на иной объект проверяемого члена Союза, связанный с выполняемыми работами по подготовке проектной докуме</w:t>
      </w:r>
      <w:r>
        <w:t>нтации).</w:t>
      </w:r>
    </w:p>
    <w:p w14:paraId="44F04301" w14:textId="77777777" w:rsidR="0052442A" w:rsidRDefault="0012717E">
      <w:pPr>
        <w:pStyle w:val="11"/>
        <w:numPr>
          <w:ilvl w:val="0"/>
          <w:numId w:val="15"/>
        </w:numPr>
        <w:tabs>
          <w:tab w:val="left" w:pos="1061"/>
        </w:tabs>
        <w:spacing w:line="211" w:lineRule="auto"/>
        <w:ind w:firstLine="540"/>
      </w:pPr>
      <w:bookmarkStart w:id="102" w:name="bookmark105"/>
      <w:bookmarkEnd w:id="102"/>
      <w:r>
        <w:t>При проведении комплексной проверки проверяются сведения, содержащиеся в документах, представленных членом Союза в соответствии с запросами Комитета, а также сведения, полученные при проведении выездного контроля.</w:t>
      </w:r>
    </w:p>
    <w:p w14:paraId="50474F8F" w14:textId="77777777" w:rsidR="0052442A" w:rsidRDefault="0012717E">
      <w:pPr>
        <w:pStyle w:val="11"/>
        <w:numPr>
          <w:ilvl w:val="0"/>
          <w:numId w:val="15"/>
        </w:numPr>
        <w:tabs>
          <w:tab w:val="left" w:pos="1061"/>
        </w:tabs>
        <w:spacing w:after="220" w:line="211" w:lineRule="auto"/>
        <w:ind w:firstLine="540"/>
      </w:pPr>
      <w:bookmarkStart w:id="103" w:name="bookmark106"/>
      <w:bookmarkEnd w:id="103"/>
      <w:r>
        <w:t>При проведении комплексной провер</w:t>
      </w:r>
      <w:r>
        <w:t>ки, помимо уведомления о дате начала проверки в соответствии с разделами 4 или 5, член Союза надлежащим образом уведомляется о проведении каждого выездного контроля по месту нахождения члена Союза и (или) объекта члена Союза.</w:t>
      </w:r>
    </w:p>
    <w:p w14:paraId="5AC404C1" w14:textId="77777777" w:rsidR="0052442A" w:rsidRDefault="0012717E">
      <w:pPr>
        <w:pStyle w:val="11"/>
        <w:spacing w:line="197" w:lineRule="auto"/>
        <w:ind w:firstLine="540"/>
      </w:pPr>
      <w:bookmarkStart w:id="104" w:name="bookmark107"/>
      <w:r>
        <w:rPr>
          <w:rFonts w:ascii="Arial" w:eastAsia="Arial" w:hAnsi="Arial" w:cs="Arial"/>
          <w:i/>
          <w:iCs/>
          <w:sz w:val="30"/>
          <w:szCs w:val="30"/>
        </w:rPr>
        <w:t>ר</w:t>
      </w:r>
      <w:bookmarkEnd w:id="104"/>
      <w:r>
        <w:rPr>
          <w:rFonts w:ascii="Arial" w:eastAsia="Arial" w:hAnsi="Arial" w:cs="Arial"/>
          <w:i/>
          <w:iCs/>
          <w:sz w:val="30"/>
          <w:szCs w:val="30"/>
        </w:rPr>
        <w:t xml:space="preserve"> </w:t>
      </w:r>
      <w:r>
        <w:rPr>
          <w:b/>
          <w:bCs/>
          <w:i/>
          <w:iCs/>
        </w:rPr>
        <w:t>А.</w:t>
      </w:r>
      <w:r>
        <w:t xml:space="preserve"> В том случае, если при начале проверки членом Союза задержано представление документов в соответствии с запросом Комитета или не обеспечены надлежащие условия проведения выездного контроля, датой начала комплексной проверки является дата представления ука</w:t>
      </w:r>
      <w:r>
        <w:t>занных документов или дата проведения выездного контроля при обеспечении надлежащих условий.</w:t>
      </w:r>
    </w:p>
    <w:p w14:paraId="2CF737DB" w14:textId="77777777" w:rsidR="0052442A" w:rsidRDefault="0012717E">
      <w:pPr>
        <w:pStyle w:val="11"/>
        <w:numPr>
          <w:ilvl w:val="0"/>
          <w:numId w:val="16"/>
        </w:numPr>
        <w:tabs>
          <w:tab w:val="left" w:pos="1052"/>
        </w:tabs>
        <w:spacing w:line="206" w:lineRule="auto"/>
        <w:ind w:firstLine="540"/>
      </w:pPr>
      <w:bookmarkStart w:id="105" w:name="bookmark108"/>
      <w:bookmarkEnd w:id="105"/>
      <w:r>
        <w:t>По результатам выездного контроля и рассмотрения документов, представленных членом Союза, Комитет до окончания срока проверки вправе осуществлять дополнительные за</w:t>
      </w:r>
      <w:r>
        <w:t>просы документов или принять решение о проведении дополнительного выездного контроля.</w:t>
      </w:r>
    </w:p>
    <w:p w14:paraId="23269AF0" w14:textId="77777777" w:rsidR="0052442A" w:rsidRDefault="0012717E">
      <w:pPr>
        <w:pStyle w:val="11"/>
        <w:numPr>
          <w:ilvl w:val="0"/>
          <w:numId w:val="16"/>
        </w:numPr>
        <w:tabs>
          <w:tab w:val="left" w:pos="1052"/>
        </w:tabs>
        <w:spacing w:line="206" w:lineRule="auto"/>
        <w:ind w:firstLine="540"/>
      </w:pPr>
      <w:bookmarkStart w:id="106" w:name="bookmark109"/>
      <w:bookmarkEnd w:id="106"/>
      <w:r>
        <w:t>Продолжительность комплексной проверки не должна превышать 30 (тридцати) календарных дней, за исключением случаев, предусмотренных настоящими Правилами.</w:t>
      </w:r>
    </w:p>
    <w:p w14:paraId="1B129C84" w14:textId="77777777" w:rsidR="0052442A" w:rsidRDefault="0012717E">
      <w:pPr>
        <w:pStyle w:val="11"/>
        <w:numPr>
          <w:ilvl w:val="0"/>
          <w:numId w:val="16"/>
        </w:numPr>
        <w:tabs>
          <w:tab w:val="left" w:pos="1052"/>
        </w:tabs>
        <w:spacing w:after="500" w:line="206" w:lineRule="auto"/>
        <w:ind w:firstLine="540"/>
      </w:pPr>
      <w:bookmarkStart w:id="107" w:name="bookmark110"/>
      <w:bookmarkEnd w:id="107"/>
      <w:r>
        <w:lastRenderedPageBreak/>
        <w:t>В том случае, есл</w:t>
      </w:r>
      <w:r>
        <w:t>и членом Союза не обеспечены надлежащие условия проведения выездного контроля в процессе проверки, длительность ее проведения может быть увеличена по решению Председателя Комитета, но не более чем на 30 (тридцать) календарных дней.</w:t>
      </w:r>
    </w:p>
    <w:p w14:paraId="340B37B0" w14:textId="77777777" w:rsidR="0052442A" w:rsidRDefault="0012717E">
      <w:pPr>
        <w:pStyle w:val="20"/>
        <w:keepNext/>
        <w:keepLines/>
        <w:numPr>
          <w:ilvl w:val="0"/>
          <w:numId w:val="1"/>
        </w:numPr>
        <w:tabs>
          <w:tab w:val="left" w:pos="362"/>
        </w:tabs>
        <w:spacing w:after="260"/>
      </w:pPr>
      <w:bookmarkStart w:id="108" w:name="bookmark113"/>
      <w:bookmarkStart w:id="109" w:name="bookmark111"/>
      <w:bookmarkStart w:id="110" w:name="bookmark112"/>
      <w:bookmarkStart w:id="111" w:name="bookmark114"/>
      <w:bookmarkEnd w:id="108"/>
      <w:r>
        <w:t>Выездной контроль</w:t>
      </w:r>
      <w:bookmarkEnd w:id="109"/>
      <w:bookmarkEnd w:id="110"/>
      <w:bookmarkEnd w:id="111"/>
    </w:p>
    <w:p w14:paraId="2D643C92" w14:textId="77777777" w:rsidR="0052442A" w:rsidRDefault="0012717E">
      <w:pPr>
        <w:pStyle w:val="11"/>
        <w:numPr>
          <w:ilvl w:val="0"/>
          <w:numId w:val="17"/>
        </w:numPr>
        <w:tabs>
          <w:tab w:val="left" w:pos="1052"/>
        </w:tabs>
        <w:spacing w:line="211" w:lineRule="auto"/>
        <w:ind w:firstLine="540"/>
      </w:pPr>
      <w:bookmarkStart w:id="112" w:name="bookmark115"/>
      <w:bookmarkEnd w:id="112"/>
      <w:r>
        <w:t>Выездн</w:t>
      </w:r>
      <w:r>
        <w:t xml:space="preserve">ой контроль проводится в случае, если при документарной проверке не представляется возможным в полном объеме оценить соответствие члена Союза и (или) его деятельность требованиям, являющимся предметом контроля, а </w:t>
      </w:r>
      <w:proofErr w:type="gramStart"/>
      <w:r>
        <w:t>так же</w:t>
      </w:r>
      <w:proofErr w:type="gramEnd"/>
      <w:r>
        <w:t xml:space="preserve"> в случае указанном в пункте 6.7. раз</w:t>
      </w:r>
      <w:r>
        <w:t>дела 6 настоящих Правил.</w:t>
      </w:r>
    </w:p>
    <w:p w14:paraId="79747A83" w14:textId="77777777" w:rsidR="0052442A" w:rsidRDefault="0012717E">
      <w:pPr>
        <w:pStyle w:val="11"/>
        <w:numPr>
          <w:ilvl w:val="0"/>
          <w:numId w:val="17"/>
        </w:numPr>
        <w:tabs>
          <w:tab w:val="left" w:pos="1052"/>
        </w:tabs>
        <w:spacing w:line="211" w:lineRule="auto"/>
        <w:ind w:firstLine="540"/>
      </w:pPr>
      <w:bookmarkStart w:id="113" w:name="bookmark116"/>
      <w:bookmarkEnd w:id="113"/>
      <w:r>
        <w:t>Выездной контроль проводится членами Комитета. В выездном контроле в соответствии с приказом директора Союза могут принимать участие не являющиеся членами Комитета штатные сотрудники Дирекции Союза или привлеченные к его работе спе</w:t>
      </w:r>
      <w:r>
        <w:t>циалисты (эксперты).</w:t>
      </w:r>
    </w:p>
    <w:p w14:paraId="048CECC1" w14:textId="77777777" w:rsidR="0052442A" w:rsidRDefault="0012717E">
      <w:pPr>
        <w:pStyle w:val="11"/>
        <w:numPr>
          <w:ilvl w:val="0"/>
          <w:numId w:val="17"/>
        </w:numPr>
        <w:tabs>
          <w:tab w:val="left" w:pos="1052"/>
        </w:tabs>
        <w:spacing w:line="211" w:lineRule="auto"/>
        <w:ind w:firstLine="540"/>
      </w:pPr>
      <w:bookmarkStart w:id="114" w:name="bookmark117"/>
      <w:bookmarkEnd w:id="114"/>
      <w:r>
        <w:t xml:space="preserve">Член Союза уведомляется о проведении выездного контроля оперативными средствами связи не позднее чем за 2 (два) рабочих дня до даты его проведения. Уведомление направляется курьерской почтой на адрес, указанный в реестре членов Союза, </w:t>
      </w:r>
      <w:r>
        <w:t>либо по электронной почте (</w:t>
      </w:r>
      <w:proofErr w:type="spellStart"/>
      <w:r>
        <w:t>e-mail</w:t>
      </w:r>
      <w:proofErr w:type="spellEnd"/>
      <w:r>
        <w:t>). В уведомлении указываются сведения о дате, адресе (адресах) и времени проведения выездного контроля, участвующих в нем лицах, список запрашиваемых документов, а также иная информация, необходимая члену Союза для выполнен</w:t>
      </w:r>
      <w:r>
        <w:t>ия требований, связанных с проведением данной проверки.</w:t>
      </w:r>
    </w:p>
    <w:p w14:paraId="2D6350A7" w14:textId="77777777" w:rsidR="0052442A" w:rsidRDefault="0012717E">
      <w:pPr>
        <w:pStyle w:val="11"/>
        <w:numPr>
          <w:ilvl w:val="0"/>
          <w:numId w:val="17"/>
        </w:numPr>
        <w:tabs>
          <w:tab w:val="left" w:pos="1052"/>
        </w:tabs>
        <w:spacing w:line="211" w:lineRule="auto"/>
        <w:ind w:firstLine="540"/>
      </w:pPr>
      <w:bookmarkStart w:id="115" w:name="bookmark118"/>
      <w:bookmarkEnd w:id="115"/>
      <w:r>
        <w:t xml:space="preserve">При проведении выездного контроля производится, с целью выяснения сведений о фактах, связанных с предметом проверки, рассмотрение оригиналов документов члена Союза и визуальный осмотр имущества члена </w:t>
      </w:r>
      <w:r>
        <w:t>Союза, используемого при ведении Работ, объектов члена Союза в любой части данных объектов.</w:t>
      </w:r>
    </w:p>
    <w:p w14:paraId="5619D468" w14:textId="77777777" w:rsidR="0052442A" w:rsidRDefault="0012717E">
      <w:pPr>
        <w:pStyle w:val="11"/>
        <w:numPr>
          <w:ilvl w:val="0"/>
          <w:numId w:val="17"/>
        </w:numPr>
        <w:tabs>
          <w:tab w:val="left" w:pos="1052"/>
        </w:tabs>
        <w:spacing w:line="211" w:lineRule="auto"/>
        <w:ind w:firstLine="540"/>
      </w:pPr>
      <w:bookmarkStart w:id="116" w:name="bookmark119"/>
      <w:bookmarkEnd w:id="116"/>
      <w:r>
        <w:t>При проведении выездного контроля может проводиться собеседование с работниками члена Союза, с лицами, являющимися представителями заказчика по договорам подряда по</w:t>
      </w:r>
      <w:r>
        <w:t xml:space="preserve"> подготовке проектной документации, заключенным с использованием конкурентных способов заключения договоров, а также осуществляться инструментальный контроль имущества члена Союза, используемого при ведении работ, объектов члена Союза или сбор образцов (пр</w:t>
      </w:r>
      <w:r>
        <w:t>об) используемых материалов для лабораторного изучения.</w:t>
      </w:r>
    </w:p>
    <w:p w14:paraId="37F68D65" w14:textId="77777777" w:rsidR="0052442A" w:rsidRDefault="0012717E">
      <w:pPr>
        <w:pStyle w:val="11"/>
        <w:numPr>
          <w:ilvl w:val="0"/>
          <w:numId w:val="17"/>
        </w:numPr>
        <w:tabs>
          <w:tab w:val="left" w:pos="1052"/>
        </w:tabs>
        <w:spacing w:line="211" w:lineRule="auto"/>
        <w:ind w:firstLine="540"/>
      </w:pPr>
      <w:bookmarkStart w:id="117" w:name="bookmark120"/>
      <w:bookmarkEnd w:id="117"/>
      <w:r>
        <w:t>Член Союза обязан предоставить лицам, уполномоченным на проведение выездного контроля, возможность ознакомиться с документами, связанными с предметом проверки, а также обеспечить доступ проводящих вые</w:t>
      </w:r>
      <w:r>
        <w:t>здной контроль лиц на территорию и строительные площадки, в используемые членом Союза при осуществлении деятельности здания, сооружения, помещения, к используемым оборудованию, транспортным средствам.</w:t>
      </w:r>
    </w:p>
    <w:p w14:paraId="089B3FF3" w14:textId="77777777" w:rsidR="0052442A" w:rsidRDefault="0012717E">
      <w:pPr>
        <w:pStyle w:val="11"/>
        <w:spacing w:line="254" w:lineRule="auto"/>
        <w:ind w:firstLine="0"/>
      </w:pPr>
      <w:r>
        <w:t xml:space="preserve">Продолжительность проведения выездного контроля не </w:t>
      </w:r>
      <w:r>
        <w:t>может превышать 5 (пяти) рабочих дней.</w:t>
      </w:r>
    </w:p>
    <w:p w14:paraId="46F1021A" w14:textId="77777777" w:rsidR="0052442A" w:rsidRDefault="0012717E">
      <w:pPr>
        <w:pStyle w:val="20"/>
        <w:keepNext/>
        <w:keepLines/>
        <w:numPr>
          <w:ilvl w:val="0"/>
          <w:numId w:val="1"/>
        </w:numPr>
        <w:tabs>
          <w:tab w:val="left" w:pos="362"/>
        </w:tabs>
        <w:spacing w:after="260"/>
      </w:pPr>
      <w:bookmarkStart w:id="118" w:name="bookmark123"/>
      <w:bookmarkStart w:id="119" w:name="bookmark121"/>
      <w:bookmarkStart w:id="120" w:name="bookmark122"/>
      <w:bookmarkStart w:id="121" w:name="bookmark124"/>
      <w:bookmarkEnd w:id="118"/>
      <w:r>
        <w:t>Результаты проверок</w:t>
      </w:r>
      <w:bookmarkEnd w:id="119"/>
      <w:bookmarkEnd w:id="120"/>
      <w:bookmarkEnd w:id="121"/>
    </w:p>
    <w:p w14:paraId="26EA7B76" w14:textId="77777777" w:rsidR="0052442A" w:rsidRDefault="0012717E">
      <w:pPr>
        <w:pStyle w:val="11"/>
        <w:numPr>
          <w:ilvl w:val="0"/>
          <w:numId w:val="18"/>
        </w:numPr>
        <w:tabs>
          <w:tab w:val="left" w:pos="1052"/>
        </w:tabs>
        <w:spacing w:after="260" w:line="214" w:lineRule="auto"/>
        <w:ind w:firstLine="540"/>
      </w:pPr>
      <w:bookmarkStart w:id="122" w:name="bookmark125"/>
      <w:bookmarkEnd w:id="122"/>
      <w:r>
        <w:t xml:space="preserve">По результатам каждой проверки, а также каждого выездного контроля в составе проверки, составляется акт. Акт проверки (выездного контроля) составляется в двух экземплярах, один из которых с описью </w:t>
      </w:r>
      <w:r>
        <w:t>указанных документов передается представителю проверяемого члена Союза. Другой экземпляр акта, а также составленные либо полученные в процессе проведения проверки (выездного контроля) документы остаются в Союзе и включаются в дело члена Союза.</w:t>
      </w:r>
    </w:p>
    <w:p w14:paraId="0C8F1372" w14:textId="77777777" w:rsidR="0052442A" w:rsidRDefault="0012717E">
      <w:pPr>
        <w:pStyle w:val="11"/>
        <w:numPr>
          <w:ilvl w:val="0"/>
          <w:numId w:val="18"/>
        </w:numPr>
        <w:tabs>
          <w:tab w:val="left" w:pos="1053"/>
        </w:tabs>
        <w:spacing w:line="211" w:lineRule="auto"/>
        <w:ind w:firstLine="520"/>
      </w:pPr>
      <w:bookmarkStart w:id="123" w:name="bookmark126"/>
      <w:bookmarkEnd w:id="123"/>
      <w:r>
        <w:t>В акте прове</w:t>
      </w:r>
      <w:r>
        <w:t>рки (выездного контроля) приводятся:</w:t>
      </w:r>
    </w:p>
    <w:p w14:paraId="67E9AB04" w14:textId="77777777" w:rsidR="0052442A" w:rsidRDefault="0012717E">
      <w:pPr>
        <w:pStyle w:val="11"/>
        <w:spacing w:line="211" w:lineRule="auto"/>
        <w:ind w:firstLine="0"/>
      </w:pPr>
      <w:r>
        <w:t>־ полное наименование и адрес члена Союза;</w:t>
      </w:r>
    </w:p>
    <w:p w14:paraId="0A52B7E9" w14:textId="77777777" w:rsidR="0052442A" w:rsidRDefault="0012717E">
      <w:pPr>
        <w:pStyle w:val="11"/>
        <w:spacing w:line="211" w:lineRule="auto"/>
        <w:ind w:firstLine="0"/>
      </w:pPr>
      <w:r>
        <w:t>־ дата и место составления акта проверки;</w:t>
      </w:r>
    </w:p>
    <w:p w14:paraId="22661800" w14:textId="77777777" w:rsidR="0052442A" w:rsidRDefault="0012717E">
      <w:pPr>
        <w:pStyle w:val="11"/>
        <w:spacing w:line="211" w:lineRule="auto"/>
        <w:ind w:firstLine="0"/>
      </w:pPr>
      <w:r>
        <w:t>־ даты начала и завершения проверки;</w:t>
      </w:r>
    </w:p>
    <w:p w14:paraId="41B36DE0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1" w:lineRule="auto"/>
        <w:ind w:firstLine="0"/>
      </w:pPr>
      <w:bookmarkStart w:id="124" w:name="bookmark127"/>
      <w:bookmarkEnd w:id="124"/>
      <w:r>
        <w:t>адреса проверенных объектов (в случае проведения выездного контроля на объектах члена Союза);</w:t>
      </w:r>
    </w:p>
    <w:p w14:paraId="1B8AF4DB" w14:textId="77777777" w:rsidR="0052442A" w:rsidRDefault="0012717E">
      <w:pPr>
        <w:pStyle w:val="11"/>
        <w:numPr>
          <w:ilvl w:val="0"/>
          <w:numId w:val="3"/>
        </w:numPr>
        <w:tabs>
          <w:tab w:val="left" w:pos="201"/>
        </w:tabs>
        <w:spacing w:line="211" w:lineRule="auto"/>
        <w:ind w:firstLine="0"/>
      </w:pPr>
      <w:bookmarkStart w:id="125" w:name="bookmark128"/>
      <w:bookmarkEnd w:id="125"/>
      <w:r>
        <w:t>осн</w:t>
      </w:r>
      <w:r>
        <w:t>ование и предмет проверки;</w:t>
      </w:r>
    </w:p>
    <w:p w14:paraId="3CE03E2A" w14:textId="77777777" w:rsidR="0052442A" w:rsidRDefault="0012717E">
      <w:pPr>
        <w:pStyle w:val="11"/>
        <w:spacing w:line="211" w:lineRule="auto"/>
        <w:ind w:firstLine="0"/>
      </w:pPr>
      <w:r>
        <w:t>־ заключение по результатам проверки;</w:t>
      </w:r>
    </w:p>
    <w:p w14:paraId="01BDAB7A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1" w:lineRule="auto"/>
        <w:ind w:firstLine="0"/>
      </w:pPr>
      <w:bookmarkStart w:id="126" w:name="bookmark129"/>
      <w:bookmarkEnd w:id="126"/>
      <w:r>
        <w:lastRenderedPageBreak/>
        <w:t>принципиальные основания сделанного заключения;</w:t>
      </w:r>
    </w:p>
    <w:p w14:paraId="64680F1B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1" w:lineRule="auto"/>
        <w:ind w:firstLine="0"/>
      </w:pPr>
      <w:bookmarkStart w:id="127" w:name="bookmark130"/>
      <w:bookmarkEnd w:id="127"/>
      <w:r>
        <w:t>список лиц, проводивших проверку (выездной контроль).</w:t>
      </w:r>
    </w:p>
    <w:p w14:paraId="071869F6" w14:textId="77777777" w:rsidR="0052442A" w:rsidRDefault="0012717E">
      <w:pPr>
        <w:pStyle w:val="11"/>
        <w:spacing w:line="211" w:lineRule="auto"/>
        <w:ind w:firstLine="0"/>
      </w:pPr>
      <w:r>
        <w:t xml:space="preserve">В акте проверки могут приводиться другие сведения, необходимые для правильного понимания </w:t>
      </w:r>
      <w:r>
        <w:t>результатов проверки.</w:t>
      </w:r>
    </w:p>
    <w:p w14:paraId="4EA5C31B" w14:textId="77777777" w:rsidR="0052442A" w:rsidRDefault="0012717E">
      <w:pPr>
        <w:pStyle w:val="11"/>
        <w:numPr>
          <w:ilvl w:val="0"/>
          <w:numId w:val="18"/>
        </w:numPr>
        <w:tabs>
          <w:tab w:val="left" w:pos="1053"/>
        </w:tabs>
        <w:spacing w:line="211" w:lineRule="auto"/>
        <w:ind w:firstLine="520"/>
      </w:pPr>
      <w:bookmarkStart w:id="128" w:name="bookmark131"/>
      <w:bookmarkEnd w:id="128"/>
      <w:r>
        <w:t>В заключении по результатам проверки могут указываться:</w:t>
      </w:r>
    </w:p>
    <w:p w14:paraId="483ABA40" w14:textId="77777777" w:rsidR="0052442A" w:rsidRDefault="0012717E">
      <w:pPr>
        <w:pStyle w:val="11"/>
        <w:spacing w:line="211" w:lineRule="auto"/>
        <w:ind w:firstLine="0"/>
      </w:pPr>
      <w:r>
        <w:t>־ выявленные нарушения нормативных и иных установленных требований в работе члена Союза или отсутствие выявленных нарушений;</w:t>
      </w:r>
    </w:p>
    <w:p w14:paraId="1008021E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1" w:lineRule="auto"/>
        <w:ind w:firstLine="0"/>
      </w:pPr>
      <w:bookmarkStart w:id="129" w:name="bookmark132"/>
      <w:bookmarkEnd w:id="129"/>
      <w:r>
        <w:t>установленное в отношении предмета проверки соответст</w:t>
      </w:r>
      <w:r>
        <w:t>вие или несоответствие деятельности члена Союза нормативным требованиям и требованиям внутренних документов Союза.</w:t>
      </w:r>
    </w:p>
    <w:p w14:paraId="1E45FCB6" w14:textId="77777777" w:rsidR="0052442A" w:rsidRDefault="0012717E">
      <w:pPr>
        <w:pStyle w:val="11"/>
        <w:numPr>
          <w:ilvl w:val="0"/>
          <w:numId w:val="18"/>
        </w:numPr>
        <w:tabs>
          <w:tab w:val="left" w:pos="1053"/>
        </w:tabs>
        <w:spacing w:line="211" w:lineRule="auto"/>
        <w:ind w:firstLine="560"/>
      </w:pPr>
      <w:bookmarkStart w:id="130" w:name="bookmark133"/>
      <w:bookmarkEnd w:id="130"/>
      <w:r>
        <w:t xml:space="preserve">К акту проверки могут прилагаться документы, содержащие необходимые сведения об основаниях сделанного заключения или его </w:t>
      </w:r>
      <w:r>
        <w:t>аналитическое обоснование, а также заключения экспертов (в случае проведения экспертиз в процессе проверки).</w:t>
      </w:r>
    </w:p>
    <w:p w14:paraId="7DFC945A" w14:textId="77777777" w:rsidR="0052442A" w:rsidRDefault="0012717E">
      <w:pPr>
        <w:pStyle w:val="11"/>
        <w:numPr>
          <w:ilvl w:val="0"/>
          <w:numId w:val="18"/>
        </w:numPr>
        <w:tabs>
          <w:tab w:val="left" w:pos="1053"/>
        </w:tabs>
        <w:spacing w:line="211" w:lineRule="auto"/>
        <w:ind w:firstLine="560"/>
      </w:pPr>
      <w:bookmarkStart w:id="131" w:name="bookmark134"/>
      <w:bookmarkEnd w:id="131"/>
      <w:r>
        <w:t>Материалы проведенной проверки, включающие акт проверки и акты выездного контроля, представленные членом Союза документы (не подлежащие возврату чл</w:t>
      </w:r>
      <w:r>
        <w:t>ену Союза), другие связанные с проверкой документы подлежат хранению, с обеспечением доступа к ним только уполномоченных Союзом лиц.</w:t>
      </w:r>
    </w:p>
    <w:p w14:paraId="5DD43069" w14:textId="77777777" w:rsidR="0052442A" w:rsidRDefault="0012717E">
      <w:pPr>
        <w:pStyle w:val="11"/>
        <w:numPr>
          <w:ilvl w:val="0"/>
          <w:numId w:val="18"/>
        </w:numPr>
        <w:tabs>
          <w:tab w:val="left" w:pos="1053"/>
        </w:tabs>
        <w:spacing w:line="211" w:lineRule="auto"/>
        <w:ind w:firstLine="560"/>
      </w:pPr>
      <w:bookmarkStart w:id="132" w:name="bookmark135"/>
      <w:bookmarkEnd w:id="132"/>
      <w:r>
        <w:t>В случае выявления по результатам проверки нарушений членом Союза нормативных требований и требований внутренних документов</w:t>
      </w:r>
      <w:r>
        <w:t xml:space="preserve"> Союза, требований к порядку обеспечения имущественной ответственности членов Союза, материалы проведенной проверки передаются в Дисциплинарный комитет Союза для рассмотрения вопроса о применении к члену Союза меры дисциплинарного воздействия.</w:t>
      </w:r>
    </w:p>
    <w:p w14:paraId="305225C1" w14:textId="77777777" w:rsidR="0052442A" w:rsidRDefault="0012717E">
      <w:pPr>
        <w:pStyle w:val="11"/>
        <w:numPr>
          <w:ilvl w:val="0"/>
          <w:numId w:val="18"/>
        </w:numPr>
        <w:tabs>
          <w:tab w:val="left" w:pos="1053"/>
        </w:tabs>
        <w:spacing w:line="211" w:lineRule="auto"/>
        <w:ind w:firstLine="560"/>
      </w:pPr>
      <w:bookmarkStart w:id="133" w:name="bookmark136"/>
      <w:bookmarkEnd w:id="133"/>
      <w:r>
        <w:t>В случае выя</w:t>
      </w:r>
      <w:r>
        <w:t>вления при проведении проверки нарушения членом Союза требований технических регламентов, проектной документации или законодательства Российской Федерации Союз уведомляет об этом уполномоченный орган исполнительной власти.</w:t>
      </w:r>
    </w:p>
    <w:p w14:paraId="5A7F2F62" w14:textId="77777777" w:rsidR="0052442A" w:rsidRDefault="0012717E">
      <w:pPr>
        <w:pStyle w:val="11"/>
        <w:numPr>
          <w:ilvl w:val="0"/>
          <w:numId w:val="18"/>
        </w:numPr>
        <w:tabs>
          <w:tab w:val="left" w:pos="1053"/>
        </w:tabs>
        <w:spacing w:after="480" w:line="211" w:lineRule="auto"/>
        <w:ind w:firstLine="560"/>
      </w:pPr>
      <w:bookmarkStart w:id="134" w:name="bookmark137"/>
      <w:bookmarkEnd w:id="134"/>
      <w:r>
        <w:t>Союз обязан обеспечить доступ к и</w:t>
      </w:r>
      <w:r>
        <w:t>нформации о результатах проведенных проверок деятельности членов Союза посредством внесения сведений в реестр членов Союза и опубликования результатов на официальном сайте Союза в сети интернет.</w:t>
      </w:r>
    </w:p>
    <w:p w14:paraId="5C49AD5F" w14:textId="0862B717" w:rsidR="0052442A" w:rsidRDefault="00320D25" w:rsidP="00320D25">
      <w:pPr>
        <w:pStyle w:val="11"/>
        <w:tabs>
          <w:tab w:val="left" w:pos="666"/>
        </w:tabs>
        <w:spacing w:after="200" w:line="266" w:lineRule="auto"/>
        <w:ind w:firstLine="0"/>
        <w:jc w:val="center"/>
      </w:pPr>
      <w:bookmarkStart w:id="135" w:name="bookmark138"/>
      <w:bookmarkEnd w:id="135"/>
      <w:r w:rsidRPr="00320D25">
        <w:rPr>
          <w:b/>
          <w:bCs/>
        </w:rPr>
        <w:t xml:space="preserve">10. </w:t>
      </w:r>
      <w:r w:rsidR="0012717E">
        <w:rPr>
          <w:b/>
          <w:bCs/>
        </w:rPr>
        <w:t>Контроль деятельности членов Союза, осуществляющих подготовку</w:t>
      </w:r>
      <w:r w:rsidR="0012717E">
        <w:rPr>
          <w:b/>
          <w:bCs/>
        </w:rPr>
        <w:t xml:space="preserve"> проектной документации особо опасных, технически сложных и уникальных объектов, с применением риск-ориентированного подхода</w:t>
      </w:r>
    </w:p>
    <w:p w14:paraId="118D0F80" w14:textId="116B761F" w:rsidR="0052442A" w:rsidRDefault="00320D25">
      <w:pPr>
        <w:pStyle w:val="11"/>
        <w:spacing w:line="209" w:lineRule="auto"/>
        <w:ind w:firstLine="560"/>
      </w:pPr>
      <w:r w:rsidRPr="00320D25">
        <w:rPr>
          <w:b/>
          <w:bCs/>
        </w:rPr>
        <w:t>10</w:t>
      </w:r>
      <w:r w:rsidR="0012717E" w:rsidRPr="00320D25">
        <w:rPr>
          <w:b/>
          <w:bCs/>
        </w:rPr>
        <w:t>.</w:t>
      </w:r>
      <w:r w:rsidRPr="00320D25">
        <w:rPr>
          <w:b/>
          <w:bCs/>
        </w:rPr>
        <w:t>1</w:t>
      </w:r>
      <w:r w:rsidRPr="00320D25">
        <w:t xml:space="preserve"> </w:t>
      </w:r>
      <w:r w:rsidR="0012717E">
        <w:t xml:space="preserve">Риск-ориентированный подход по настоящему разделу применяется при организации контроля за деятельностью членов Союза, </w:t>
      </w:r>
      <w:r w:rsidR="0012717E">
        <w:t>связанной с подготовкой проектной документации особо опасных, технически сложных и уникальных объектов.</w:t>
      </w:r>
    </w:p>
    <w:p w14:paraId="6B9849E2" w14:textId="77777777" w:rsidR="0052442A" w:rsidRDefault="0012717E">
      <w:pPr>
        <w:pStyle w:val="11"/>
        <w:numPr>
          <w:ilvl w:val="0"/>
          <w:numId w:val="19"/>
        </w:numPr>
        <w:tabs>
          <w:tab w:val="left" w:pos="1141"/>
        </w:tabs>
        <w:spacing w:line="209" w:lineRule="auto"/>
        <w:ind w:firstLine="560"/>
      </w:pPr>
      <w:bookmarkStart w:id="136" w:name="bookmark140"/>
      <w:bookmarkEnd w:id="136"/>
      <w:r>
        <w:t>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</w:t>
      </w:r>
      <w:r>
        <w:t>и вероятности их несоблюдения членом Союза осуществляется по методике, утвержденной Приказом Министерства строительства и жилищно- коммунального хозяйства Российской Федерации от 10.04.2017.</w:t>
      </w:r>
    </w:p>
    <w:p w14:paraId="4C575FA2" w14:textId="77777777" w:rsidR="0052442A" w:rsidRDefault="0012717E">
      <w:pPr>
        <w:pStyle w:val="11"/>
        <w:numPr>
          <w:ilvl w:val="0"/>
          <w:numId w:val="19"/>
        </w:numPr>
        <w:tabs>
          <w:tab w:val="left" w:pos="1137"/>
        </w:tabs>
        <w:spacing w:line="209" w:lineRule="auto"/>
        <w:ind w:firstLine="560"/>
      </w:pPr>
      <w:bookmarkStart w:id="137" w:name="bookmark141"/>
      <w:bookmarkEnd w:id="137"/>
      <w:r>
        <w:t>Методика расчета значений показателей риск-ориентированного подхо</w:t>
      </w:r>
      <w:r>
        <w:t>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</w:t>
      </w:r>
      <w:r>
        <w:t>луатации здания, сооружения (далее - охраняемые законом ценности) при нарушении членом Союза, который осуществляет подготовку проектной документации особо опасных, технически сложных и уникальных объектов, указанных в статье 48.1 Градостроительного кодекса</w:t>
      </w:r>
      <w:r>
        <w:t xml:space="preserve">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</w:t>
      </w:r>
      <w:r>
        <w:t>подготовке проектной документации объектов капитального строительства, утвержденных НОПРИЗ (далее - обязательные требования).</w:t>
      </w:r>
    </w:p>
    <w:p w14:paraId="4EFC9F7E" w14:textId="77777777" w:rsidR="0052442A" w:rsidRDefault="0012717E">
      <w:pPr>
        <w:pStyle w:val="11"/>
        <w:numPr>
          <w:ilvl w:val="0"/>
          <w:numId w:val="19"/>
        </w:numPr>
        <w:tabs>
          <w:tab w:val="left" w:pos="1137"/>
        </w:tabs>
        <w:spacing w:line="209" w:lineRule="auto"/>
        <w:ind w:firstLine="580"/>
      </w:pPr>
      <w:bookmarkStart w:id="138" w:name="bookmark142"/>
      <w:bookmarkEnd w:id="138"/>
      <w:r>
        <w:t>Критерии отнесения объектов контроля к категориям риска учитывают тяжесть потенциальных негативных последствий возможного несоблюд</w:t>
      </w:r>
      <w:r>
        <w:t>ения объектом контроля обязательных требований и вероятность несоблюдения объектов контроля обязательных требований.</w:t>
      </w:r>
    </w:p>
    <w:p w14:paraId="4C7F9637" w14:textId="77777777" w:rsidR="0052442A" w:rsidRDefault="0012717E">
      <w:pPr>
        <w:pStyle w:val="11"/>
        <w:numPr>
          <w:ilvl w:val="0"/>
          <w:numId w:val="19"/>
        </w:numPr>
        <w:tabs>
          <w:tab w:val="left" w:pos="1144"/>
        </w:tabs>
        <w:spacing w:line="209" w:lineRule="auto"/>
        <w:ind w:firstLine="580"/>
      </w:pPr>
      <w:bookmarkStart w:id="139" w:name="bookmark143"/>
      <w:bookmarkEnd w:id="139"/>
      <w:r>
        <w:lastRenderedPageBreak/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</w:t>
      </w:r>
      <w:r>
        <w:t xml:space="preserve">причинением вреда (нанесения ущерба) охраняемым законом ценностям, осуществляется Союзом </w:t>
      </w:r>
      <w:proofErr w:type="gramStart"/>
      <w:r>
        <w:t>с }</w:t>
      </w:r>
      <w:proofErr w:type="gramEnd"/>
      <w:r>
        <w:t>־четом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14:paraId="55B295F8" w14:textId="77777777" w:rsidR="0052442A" w:rsidRDefault="0012717E">
      <w:pPr>
        <w:pStyle w:val="11"/>
        <w:numPr>
          <w:ilvl w:val="0"/>
          <w:numId w:val="19"/>
        </w:numPr>
        <w:tabs>
          <w:tab w:val="left" w:pos="1152"/>
        </w:tabs>
        <w:spacing w:line="209" w:lineRule="auto"/>
        <w:ind w:firstLine="580"/>
      </w:pPr>
      <w:bookmarkStart w:id="140" w:name="bookmark144"/>
      <w:bookmarkEnd w:id="140"/>
      <w:r>
        <w:t>Основными</w:t>
      </w:r>
      <w:r>
        <w:t xml:space="preserve"> показателями категорий рисков являются:</w:t>
      </w:r>
    </w:p>
    <w:p w14:paraId="3F302AB4" w14:textId="77777777" w:rsidR="0052442A" w:rsidRDefault="0012717E">
      <w:pPr>
        <w:pStyle w:val="11"/>
        <w:numPr>
          <w:ilvl w:val="0"/>
          <w:numId w:val="3"/>
        </w:numPr>
        <w:tabs>
          <w:tab w:val="left" w:pos="201"/>
        </w:tabs>
        <w:spacing w:line="209" w:lineRule="auto"/>
        <w:ind w:firstLine="0"/>
      </w:pPr>
      <w:bookmarkStart w:id="141" w:name="bookmark145"/>
      <w:bookmarkEnd w:id="141"/>
      <w:r>
        <w:t xml:space="preserve"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</w:t>
      </w:r>
      <w:r>
        <w:t>последствий).</w:t>
      </w:r>
    </w:p>
    <w:p w14:paraId="35E30C8A" w14:textId="77777777" w:rsidR="0052442A" w:rsidRDefault="0012717E">
      <w:pPr>
        <w:pStyle w:val="11"/>
        <w:numPr>
          <w:ilvl w:val="0"/>
          <w:numId w:val="3"/>
        </w:numPr>
        <w:tabs>
          <w:tab w:val="left" w:pos="208"/>
        </w:tabs>
        <w:spacing w:line="209" w:lineRule="auto"/>
        <w:ind w:firstLine="0"/>
      </w:pPr>
      <w:bookmarkStart w:id="142" w:name="bookmark146"/>
      <w:bookmarkEnd w:id="142"/>
      <w:r>
        <w:t>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14:paraId="6264D91B" w14:textId="77777777" w:rsidR="0052442A" w:rsidRDefault="0012717E">
      <w:pPr>
        <w:pStyle w:val="11"/>
        <w:numPr>
          <w:ilvl w:val="0"/>
          <w:numId w:val="19"/>
        </w:numPr>
        <w:tabs>
          <w:tab w:val="left" w:pos="1134"/>
        </w:tabs>
        <w:spacing w:line="211" w:lineRule="auto"/>
        <w:ind w:firstLine="580"/>
      </w:pPr>
      <w:bookmarkStart w:id="143" w:name="bookmark147"/>
      <w:bookmarkEnd w:id="143"/>
      <w:r>
        <w:t>Расчет значений показателей категорий рисков осуществляется путем со</w:t>
      </w:r>
      <w:r>
        <w:t>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</w:t>
      </w:r>
      <w:r>
        <w:t>торов риска, установленных настоящими Правилами.</w:t>
      </w:r>
    </w:p>
    <w:p w14:paraId="51E9CBE1" w14:textId="77777777" w:rsidR="0052442A" w:rsidRDefault="0012717E">
      <w:pPr>
        <w:pStyle w:val="20"/>
        <w:keepNext/>
        <w:keepLines/>
        <w:numPr>
          <w:ilvl w:val="0"/>
          <w:numId w:val="19"/>
        </w:numPr>
        <w:tabs>
          <w:tab w:val="left" w:pos="1130"/>
        </w:tabs>
        <w:spacing w:after="0"/>
        <w:ind w:firstLine="580"/>
        <w:jc w:val="left"/>
      </w:pPr>
      <w:bookmarkStart w:id="144" w:name="bookmark150"/>
      <w:bookmarkStart w:id="145" w:name="bookmark148"/>
      <w:bookmarkStart w:id="146" w:name="bookmark149"/>
      <w:bookmarkStart w:id="147" w:name="bookmark151"/>
      <w:bookmarkEnd w:id="144"/>
      <w:r>
        <w:t>Расчет значений показателя тяжести потенциальных негативных последствий.</w:t>
      </w:r>
      <w:bookmarkEnd w:id="145"/>
      <w:bookmarkEnd w:id="146"/>
      <w:bookmarkEnd w:id="147"/>
    </w:p>
    <w:p w14:paraId="113F663C" w14:textId="77777777" w:rsidR="0052442A" w:rsidRDefault="0012717E">
      <w:pPr>
        <w:pStyle w:val="11"/>
        <w:numPr>
          <w:ilvl w:val="0"/>
          <w:numId w:val="20"/>
        </w:numPr>
        <w:tabs>
          <w:tab w:val="left" w:pos="1360"/>
        </w:tabs>
        <w:spacing w:line="211" w:lineRule="auto"/>
        <w:ind w:firstLine="580"/>
      </w:pPr>
      <w:bookmarkStart w:id="148" w:name="bookmark152"/>
      <w:bookmarkEnd w:id="148"/>
      <w:r>
        <w:t>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14:paraId="4841CA10" w14:textId="77777777" w:rsidR="0052442A" w:rsidRDefault="0012717E">
      <w:pPr>
        <w:pStyle w:val="11"/>
        <w:numPr>
          <w:ilvl w:val="0"/>
          <w:numId w:val="20"/>
        </w:numPr>
        <w:tabs>
          <w:tab w:val="left" w:pos="1360"/>
        </w:tabs>
        <w:spacing w:line="211" w:lineRule="auto"/>
        <w:ind w:firstLine="580"/>
      </w:pPr>
      <w:bookmarkStart w:id="149" w:name="bookmark153"/>
      <w:bookmarkEnd w:id="149"/>
      <w:r>
        <w:t>Расчет показателя тяжести потенциальных негативных последствий осуществляется следующим образом:</w:t>
      </w:r>
    </w:p>
    <w:p w14:paraId="1EF19F7B" w14:textId="77777777" w:rsidR="0052442A" w:rsidRDefault="0012717E">
      <w:pPr>
        <w:pStyle w:val="11"/>
        <w:numPr>
          <w:ilvl w:val="0"/>
          <w:numId w:val="3"/>
        </w:numPr>
        <w:tabs>
          <w:tab w:val="left" w:pos="201"/>
        </w:tabs>
        <w:spacing w:line="211" w:lineRule="auto"/>
        <w:ind w:firstLine="0"/>
      </w:pPr>
      <w:bookmarkStart w:id="150" w:name="bookmark154"/>
      <w:bookmarkEnd w:id="150"/>
      <w:r>
        <w:t>определяются факторы риска, указанные в пункте 10.8.3 настоящих Правил;</w:t>
      </w:r>
    </w:p>
    <w:p w14:paraId="367FF917" w14:textId="77777777" w:rsidR="0052442A" w:rsidRDefault="0012717E">
      <w:pPr>
        <w:pStyle w:val="11"/>
        <w:numPr>
          <w:ilvl w:val="0"/>
          <w:numId w:val="3"/>
        </w:numPr>
        <w:tabs>
          <w:tab w:val="left" w:pos="201"/>
        </w:tabs>
        <w:spacing w:line="216" w:lineRule="auto"/>
        <w:ind w:firstLine="0"/>
      </w:pPr>
      <w:bookmarkStart w:id="151" w:name="bookmark155"/>
      <w:bookmarkEnd w:id="151"/>
      <w:r>
        <w:t>устанавливаются категории риска и их значимость;</w:t>
      </w:r>
    </w:p>
    <w:p w14:paraId="6683C52A" w14:textId="77777777" w:rsidR="0052442A" w:rsidRDefault="0012717E">
      <w:pPr>
        <w:pStyle w:val="11"/>
        <w:numPr>
          <w:ilvl w:val="0"/>
          <w:numId w:val="3"/>
        </w:numPr>
        <w:tabs>
          <w:tab w:val="left" w:pos="201"/>
        </w:tabs>
        <w:spacing w:line="216" w:lineRule="auto"/>
        <w:ind w:firstLine="0"/>
      </w:pPr>
      <w:bookmarkStart w:id="152" w:name="bookmark156"/>
      <w:bookmarkEnd w:id="152"/>
      <w:r>
        <w:t>осуществляется сопоставление значимос</w:t>
      </w:r>
      <w:r>
        <w:t>ти риска и категории риска;</w:t>
      </w:r>
    </w:p>
    <w:p w14:paraId="682FC5FB" w14:textId="77777777" w:rsidR="0052442A" w:rsidRDefault="0012717E">
      <w:pPr>
        <w:pStyle w:val="11"/>
        <w:numPr>
          <w:ilvl w:val="0"/>
          <w:numId w:val="20"/>
        </w:numPr>
        <w:tabs>
          <w:tab w:val="left" w:pos="1360"/>
        </w:tabs>
        <w:spacing w:line="216" w:lineRule="auto"/>
        <w:ind w:firstLine="580"/>
      </w:pPr>
      <w:bookmarkStart w:id="153" w:name="bookmark157"/>
      <w:bookmarkEnd w:id="153"/>
      <w:r>
        <w:t>Факторы риска, рассматриваемые при определении показателя тяжести потенциальных негативных последствий:</w:t>
      </w:r>
    </w:p>
    <w:p w14:paraId="0BCB1357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6" w:lineRule="auto"/>
        <w:ind w:firstLine="0"/>
      </w:pPr>
      <w:bookmarkStart w:id="154" w:name="bookmark158"/>
      <w:bookmarkEnd w:id="154"/>
      <w:r>
        <w:t>наличие фактов и размер возмещения вреда, и выплаты компенсации сверх возмещения вреда из средств компенсационного фонда воз</w:t>
      </w:r>
      <w:r>
        <w:t>мещения вреда Союза или за счет страхового возмещения вследствие недостатков работ, выполненных объектом контроля.</w:t>
      </w:r>
    </w:p>
    <w:p w14:paraId="08B1AC54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6" w:lineRule="auto"/>
        <w:ind w:firstLine="0"/>
      </w:pPr>
      <w:bookmarkStart w:id="155" w:name="bookmark159"/>
      <w:bookmarkEnd w:id="155"/>
      <w:r>
        <w:t>непринятие объектом контроля мер, направленных на предотвращение нарушений, недостатков и недобросовестных действий, отсутствие организации в</w:t>
      </w:r>
      <w:r>
        <w:t>нутреннего контроля и ресурсов, которые объект контроля может направить на предотвращение нарушений, недостатков и недобросовестных действий.</w:t>
      </w:r>
    </w:p>
    <w:p w14:paraId="232CBD14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6" w:lineRule="auto"/>
        <w:ind w:firstLine="0"/>
      </w:pPr>
      <w:bookmarkStart w:id="156" w:name="bookmark160"/>
      <w:bookmarkEnd w:id="156"/>
      <w:r>
        <w:t xml:space="preserve">фактический максимальный уровень ответственности члена Союза по договорам подряда на подготовку проектной </w:t>
      </w:r>
      <w:r>
        <w:t>документации.</w:t>
      </w:r>
    </w:p>
    <w:p w14:paraId="065E6257" w14:textId="77777777" w:rsidR="0052442A" w:rsidRDefault="0012717E">
      <w:pPr>
        <w:pStyle w:val="11"/>
        <w:spacing w:line="216" w:lineRule="auto"/>
        <w:ind w:firstLine="580"/>
      </w:pPr>
      <w: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14:paraId="6DEF4E50" w14:textId="77777777" w:rsidR="0052442A" w:rsidRDefault="0012717E">
      <w:pPr>
        <w:pStyle w:val="11"/>
        <w:numPr>
          <w:ilvl w:val="0"/>
          <w:numId w:val="20"/>
        </w:numPr>
        <w:tabs>
          <w:tab w:val="left" w:pos="1360"/>
        </w:tabs>
        <w:spacing w:line="214" w:lineRule="auto"/>
        <w:ind w:firstLine="580"/>
      </w:pPr>
      <w:bookmarkStart w:id="157" w:name="bookmark161"/>
      <w:bookmarkEnd w:id="157"/>
      <w:r>
        <w:t>Для расчета значений показателя тяжести потенциальных негативных последствий исп</w:t>
      </w:r>
      <w:r>
        <w:t>ользуются шесть категорий риска: "Низкий риск", "Умеренный риск", "Средний риск", "Значительный риск", "Высокий риск", "Чрезвычайно высокий риск".</w:t>
      </w:r>
    </w:p>
    <w:p w14:paraId="535BD19D" w14:textId="77777777" w:rsidR="00320D25" w:rsidRDefault="00320D25">
      <w:pPr>
        <w:pStyle w:val="11"/>
        <w:spacing w:after="240" w:line="206" w:lineRule="auto"/>
        <w:ind w:firstLine="0"/>
      </w:pPr>
    </w:p>
    <w:p w14:paraId="096DF786" w14:textId="77777777" w:rsidR="00320D25" w:rsidRDefault="00320D25">
      <w:pPr>
        <w:pStyle w:val="11"/>
        <w:spacing w:after="240" w:line="206" w:lineRule="auto"/>
        <w:ind w:firstLine="0"/>
      </w:pPr>
    </w:p>
    <w:p w14:paraId="34ADB813" w14:textId="77777777" w:rsidR="00320D25" w:rsidRDefault="00320D25">
      <w:pPr>
        <w:pStyle w:val="11"/>
        <w:spacing w:after="240" w:line="206" w:lineRule="auto"/>
        <w:ind w:firstLine="0"/>
      </w:pPr>
    </w:p>
    <w:p w14:paraId="2630B31B" w14:textId="77777777" w:rsidR="00320D25" w:rsidRDefault="00320D25">
      <w:pPr>
        <w:pStyle w:val="11"/>
        <w:spacing w:after="240" w:line="206" w:lineRule="auto"/>
        <w:ind w:firstLine="0"/>
      </w:pPr>
    </w:p>
    <w:p w14:paraId="6F0C5516" w14:textId="77777777" w:rsidR="00320D25" w:rsidRDefault="00320D25">
      <w:pPr>
        <w:pStyle w:val="11"/>
        <w:spacing w:after="240" w:line="206" w:lineRule="auto"/>
        <w:ind w:firstLine="0"/>
      </w:pPr>
    </w:p>
    <w:p w14:paraId="111F4FD8" w14:textId="77777777" w:rsidR="00320D25" w:rsidRDefault="00320D25">
      <w:pPr>
        <w:pStyle w:val="11"/>
        <w:spacing w:after="240" w:line="206" w:lineRule="auto"/>
        <w:ind w:firstLine="0"/>
      </w:pPr>
    </w:p>
    <w:p w14:paraId="2B40669D" w14:textId="77777777" w:rsidR="00320D25" w:rsidRDefault="00320D25">
      <w:pPr>
        <w:pStyle w:val="11"/>
        <w:spacing w:after="240" w:line="206" w:lineRule="auto"/>
        <w:ind w:firstLine="0"/>
      </w:pPr>
    </w:p>
    <w:p w14:paraId="75C038DC" w14:textId="77777777" w:rsidR="00320D25" w:rsidRDefault="00320D25">
      <w:pPr>
        <w:pStyle w:val="11"/>
        <w:spacing w:after="240" w:line="206" w:lineRule="auto"/>
        <w:ind w:firstLine="0"/>
      </w:pPr>
    </w:p>
    <w:p w14:paraId="6F7A542B" w14:textId="77777777" w:rsidR="00320D25" w:rsidRDefault="00320D25">
      <w:pPr>
        <w:pStyle w:val="11"/>
        <w:spacing w:after="240" w:line="206" w:lineRule="auto"/>
        <w:ind w:firstLine="0"/>
      </w:pPr>
    </w:p>
    <w:p w14:paraId="109C416F" w14:textId="6A5239A5" w:rsidR="0052442A" w:rsidRDefault="0012717E">
      <w:pPr>
        <w:pStyle w:val="11"/>
        <w:spacing w:after="240" w:line="206" w:lineRule="auto"/>
        <w:ind w:firstLine="0"/>
      </w:pPr>
      <w:r>
        <w:lastRenderedPageBreak/>
        <w:t xml:space="preserve">Каждая категория риска сопоставляется с соответствующим показателем его значимости в соответствии с таблицей </w:t>
      </w:r>
      <w:r>
        <w:t>1.</w:t>
      </w:r>
    </w:p>
    <w:p w14:paraId="5587083A" w14:textId="77777777" w:rsidR="0052442A" w:rsidRDefault="0012717E">
      <w:pPr>
        <w:pStyle w:val="a9"/>
        <w:ind w:left="1422"/>
      </w:pPr>
      <w:r>
        <w:t>Таблица 1. Сопоставление категорий риска с показателем его значимости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4460"/>
      </w:tblGrid>
      <w:tr w:rsidR="0052442A" w14:paraId="59B8BB98" w14:textId="77777777" w:rsidTr="00320D25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38F28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риска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D58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Значимость риска</w:t>
            </w:r>
          </w:p>
        </w:tc>
      </w:tr>
      <w:tr w:rsidR="0052442A" w14:paraId="0983CE3A" w14:textId="77777777" w:rsidTr="00320D25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19EB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3C7C7" w14:textId="77777777" w:rsidR="0052442A" w:rsidRDefault="0012717E">
            <w:pPr>
              <w:pStyle w:val="ab"/>
              <w:ind w:left="2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442A" w14:paraId="5F16908D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B2BA3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5D845" w14:textId="77777777" w:rsidR="0052442A" w:rsidRDefault="0012717E">
            <w:pPr>
              <w:pStyle w:val="ab"/>
              <w:ind w:left="2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442A" w14:paraId="4CE9F63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467FB" w14:textId="77777777" w:rsidR="0052442A" w:rsidRDefault="0012717E">
            <w:pPr>
              <w:pStyle w:val="ab"/>
              <w:ind w:left="17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60490" w14:textId="77777777" w:rsidR="0052442A" w:rsidRDefault="0012717E">
            <w:pPr>
              <w:pStyle w:val="ab"/>
              <w:ind w:left="2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442A" w14:paraId="3D7614B4" w14:textId="7777777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8212E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DC331" w14:textId="77777777" w:rsidR="0052442A" w:rsidRDefault="0012717E">
            <w:pPr>
              <w:pStyle w:val="ab"/>
              <w:ind w:left="2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442A" w14:paraId="2265F79A" w14:textId="77777777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5186D" w14:textId="77777777" w:rsidR="0052442A" w:rsidRDefault="0012717E">
            <w:pPr>
              <w:pStyle w:val="ab"/>
              <w:ind w:left="17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70209" w14:textId="77777777" w:rsidR="0052442A" w:rsidRDefault="0012717E">
            <w:pPr>
              <w:pStyle w:val="ab"/>
              <w:ind w:left="2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42A" w14:paraId="2F389989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88ABD" w14:textId="77777777" w:rsidR="0052442A" w:rsidRDefault="0012717E">
            <w:pPr>
              <w:pStyle w:val="ab"/>
              <w:ind w:left="11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F4C8D" w14:textId="77777777" w:rsidR="0052442A" w:rsidRDefault="0012717E">
            <w:pPr>
              <w:pStyle w:val="ab"/>
              <w:ind w:left="2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2966EE38" w14:textId="77777777" w:rsidR="0052442A" w:rsidRDefault="0052442A">
      <w:pPr>
        <w:spacing w:after="239" w:line="1" w:lineRule="exact"/>
      </w:pPr>
    </w:p>
    <w:p w14:paraId="6CCD9ED3" w14:textId="77777777" w:rsidR="0052442A" w:rsidRDefault="0012717E">
      <w:pPr>
        <w:pStyle w:val="11"/>
        <w:numPr>
          <w:ilvl w:val="0"/>
          <w:numId w:val="20"/>
        </w:numPr>
        <w:tabs>
          <w:tab w:val="left" w:pos="1375"/>
        </w:tabs>
        <w:spacing w:line="206" w:lineRule="auto"/>
        <w:ind w:firstLine="640"/>
      </w:pPr>
      <w:bookmarkStart w:id="158" w:name="bookmark162"/>
      <w:bookmarkEnd w:id="158"/>
      <w:r>
        <w:t xml:space="preserve">Допустимые значения тяжести </w:t>
      </w:r>
      <w:r>
        <w:t>потенциальных негативных последствий фактора риска установлены в приложении 1.</w:t>
      </w:r>
    </w:p>
    <w:p w14:paraId="2753059B" w14:textId="77777777" w:rsidR="0052442A" w:rsidRDefault="0012717E">
      <w:pPr>
        <w:pStyle w:val="11"/>
        <w:numPr>
          <w:ilvl w:val="0"/>
          <w:numId w:val="20"/>
        </w:numPr>
        <w:tabs>
          <w:tab w:val="left" w:pos="1382"/>
        </w:tabs>
        <w:spacing w:line="206" w:lineRule="auto"/>
        <w:ind w:firstLine="640"/>
      </w:pPr>
      <w:bookmarkStart w:id="159" w:name="bookmark163"/>
      <w:bookmarkEnd w:id="159"/>
      <w:r>
        <w:t>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14:paraId="370AD603" w14:textId="77777777" w:rsidR="0052442A" w:rsidRDefault="0012717E">
      <w:pPr>
        <w:pStyle w:val="11"/>
        <w:numPr>
          <w:ilvl w:val="0"/>
          <w:numId w:val="20"/>
        </w:numPr>
        <w:tabs>
          <w:tab w:val="left" w:pos="1382"/>
        </w:tabs>
        <w:spacing w:line="206" w:lineRule="auto"/>
        <w:ind w:firstLine="640"/>
      </w:pPr>
      <w:bookmarkStart w:id="160" w:name="bookmark164"/>
      <w:bookmarkEnd w:id="160"/>
      <w:r>
        <w:t>При отсутствии как</w:t>
      </w:r>
      <w:r>
        <w:t>их-либо первичных данных и информации об объекте контроля показатель тяжести потенциальных негативных последствий устанавливается равным категории риска "Средний риск".</w:t>
      </w:r>
    </w:p>
    <w:p w14:paraId="35C10E9A" w14:textId="77777777" w:rsidR="0052442A" w:rsidRDefault="0012717E">
      <w:pPr>
        <w:pStyle w:val="20"/>
        <w:keepNext/>
        <w:keepLines/>
        <w:numPr>
          <w:ilvl w:val="0"/>
          <w:numId w:val="19"/>
        </w:numPr>
        <w:tabs>
          <w:tab w:val="left" w:pos="1141"/>
        </w:tabs>
        <w:spacing w:after="0" w:line="206" w:lineRule="auto"/>
        <w:ind w:firstLine="560"/>
        <w:jc w:val="left"/>
      </w:pPr>
      <w:bookmarkStart w:id="161" w:name="bookmark167"/>
      <w:bookmarkStart w:id="162" w:name="bookmark165"/>
      <w:bookmarkStart w:id="163" w:name="bookmark166"/>
      <w:bookmarkStart w:id="164" w:name="bookmark168"/>
      <w:bookmarkEnd w:id="161"/>
      <w:r>
        <w:t>Расчет значений показателя вероятности несоблюдения обязательных требований.</w:t>
      </w:r>
      <w:bookmarkEnd w:id="162"/>
      <w:bookmarkEnd w:id="163"/>
      <w:bookmarkEnd w:id="164"/>
    </w:p>
    <w:p w14:paraId="4A59F7CC" w14:textId="77777777" w:rsidR="0052442A" w:rsidRDefault="0012717E">
      <w:pPr>
        <w:pStyle w:val="11"/>
        <w:numPr>
          <w:ilvl w:val="0"/>
          <w:numId w:val="21"/>
        </w:numPr>
        <w:tabs>
          <w:tab w:val="left" w:pos="1338"/>
        </w:tabs>
        <w:spacing w:line="204" w:lineRule="auto"/>
        <w:ind w:firstLine="560"/>
      </w:pPr>
      <w:bookmarkStart w:id="165" w:name="bookmark169"/>
      <w:bookmarkEnd w:id="165"/>
      <w:r>
        <w:t>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14:paraId="78841C61" w14:textId="77777777" w:rsidR="0052442A" w:rsidRDefault="0012717E">
      <w:pPr>
        <w:pStyle w:val="11"/>
        <w:numPr>
          <w:ilvl w:val="0"/>
          <w:numId w:val="21"/>
        </w:numPr>
        <w:tabs>
          <w:tab w:val="left" w:pos="1338"/>
        </w:tabs>
        <w:spacing w:line="204" w:lineRule="auto"/>
        <w:ind w:firstLine="560"/>
      </w:pPr>
      <w:bookmarkStart w:id="166" w:name="bookmark170"/>
      <w:bookmarkEnd w:id="166"/>
      <w:r>
        <w:t>Для расчета показателя вероятности несоблюдения обязательных требований оценка вероятности реализации риска учитывает</w:t>
      </w:r>
      <w:r>
        <w:t xml:space="preserve"> вероятность реализации следующих факторов риска:</w:t>
      </w:r>
    </w:p>
    <w:p w14:paraId="7F41BC2E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09" w:lineRule="auto"/>
        <w:ind w:firstLine="0"/>
      </w:pPr>
      <w:bookmarkStart w:id="167" w:name="bookmark171"/>
      <w:bookmarkEnd w:id="167"/>
      <w:r>
        <w:t>наличие внеплановых проверок, проведенных на основании жалобы на нарушение объектом контроля обязательных требований;</w:t>
      </w:r>
    </w:p>
    <w:p w14:paraId="17DD3629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09" w:lineRule="auto"/>
        <w:ind w:firstLine="0"/>
      </w:pPr>
      <w:bookmarkStart w:id="168" w:name="bookmark172"/>
      <w:bookmarkEnd w:id="168"/>
      <w:r>
        <w:t>наличие решений о применении Союзом в отношении объекта контроля мер дисциплинарного воз</w:t>
      </w:r>
      <w:r>
        <w:t>действия;</w:t>
      </w:r>
    </w:p>
    <w:p w14:paraId="1C7389B4" w14:textId="77777777" w:rsidR="0052442A" w:rsidRDefault="0012717E">
      <w:pPr>
        <w:pStyle w:val="11"/>
        <w:spacing w:line="209" w:lineRule="auto"/>
        <w:ind w:firstLine="0"/>
      </w:pPr>
      <w:r>
        <w:t>־ наличие фактов нарушений соответствия выполняемых работ обязательным требованиям, допущенных объектом контроля;</w:t>
      </w:r>
    </w:p>
    <w:p w14:paraId="17768AD2" w14:textId="77777777" w:rsidR="0052442A" w:rsidRDefault="0012717E">
      <w:pPr>
        <w:pStyle w:val="11"/>
        <w:numPr>
          <w:ilvl w:val="0"/>
          <w:numId w:val="3"/>
        </w:numPr>
        <w:tabs>
          <w:tab w:val="left" w:pos="201"/>
        </w:tabs>
        <w:spacing w:line="214" w:lineRule="auto"/>
        <w:ind w:firstLine="0"/>
      </w:pPr>
      <w:bookmarkStart w:id="169" w:name="bookmark173"/>
      <w:bookmarkEnd w:id="169"/>
      <w:r>
        <w:t>наличие фактов о предписаниях органов государственного (муниципального) контроля (надзора), выданных объекту контроля; - наличие фак</w:t>
      </w:r>
      <w:r>
        <w:t>тов о неисполненных предписаниях органов государственного (муниципального) контроля (надзора);</w:t>
      </w:r>
    </w:p>
    <w:p w14:paraId="39B85841" w14:textId="77777777" w:rsidR="0052442A" w:rsidRDefault="0012717E">
      <w:pPr>
        <w:pStyle w:val="11"/>
        <w:numPr>
          <w:ilvl w:val="0"/>
          <w:numId w:val="3"/>
        </w:numPr>
        <w:tabs>
          <w:tab w:val="left" w:pos="201"/>
        </w:tabs>
        <w:spacing w:line="214" w:lineRule="auto"/>
        <w:ind w:firstLine="0"/>
      </w:pPr>
      <w:bookmarkStart w:id="170" w:name="bookmark174"/>
      <w:bookmarkEnd w:id="170"/>
      <w:r>
        <w:t>наличие фактов несоблюдения объектом контроля обязательных требований; наличие фактов привлечения объекта контроля к административной ответственности;</w:t>
      </w:r>
    </w:p>
    <w:p w14:paraId="701E97C4" w14:textId="77777777" w:rsidR="0052442A" w:rsidRDefault="0012717E">
      <w:pPr>
        <w:pStyle w:val="11"/>
        <w:numPr>
          <w:ilvl w:val="0"/>
          <w:numId w:val="3"/>
        </w:numPr>
        <w:tabs>
          <w:tab w:val="left" w:pos="201"/>
        </w:tabs>
        <w:spacing w:line="214" w:lineRule="auto"/>
        <w:ind w:firstLine="0"/>
      </w:pPr>
      <w:bookmarkStart w:id="171" w:name="bookmark175"/>
      <w:bookmarkEnd w:id="171"/>
      <w:r>
        <w:t>наличие фа</w:t>
      </w:r>
      <w:r>
        <w:t>ктов о приостановлении деятельности объекта контроля в качестве меры административного наказания;</w:t>
      </w:r>
    </w:p>
    <w:p w14:paraId="60B13875" w14:textId="77777777" w:rsidR="0052442A" w:rsidRDefault="0012717E">
      <w:pPr>
        <w:pStyle w:val="11"/>
        <w:spacing w:line="214" w:lineRule="auto"/>
        <w:ind w:firstLine="0"/>
      </w:pPr>
      <w:r>
        <w:t>־ наличие фактов о произошедших у объекта контроля несчастных случаях на производстве и авариях, связанных с выполнением работ;</w:t>
      </w:r>
    </w:p>
    <w:p w14:paraId="09CFBCE5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4" w:lineRule="auto"/>
        <w:ind w:firstLine="0"/>
      </w:pPr>
      <w:bookmarkStart w:id="172" w:name="bookmark176"/>
      <w:bookmarkEnd w:id="172"/>
      <w:r>
        <w:t>наличие фактов о находящихся в</w:t>
      </w:r>
      <w:r>
        <w:t xml:space="preserve">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</w:t>
      </w:r>
      <w:r>
        <w:t>едостатками выполненных работ.</w:t>
      </w:r>
    </w:p>
    <w:p w14:paraId="018E4F3F" w14:textId="77777777" w:rsidR="0052442A" w:rsidRDefault="0012717E">
      <w:pPr>
        <w:pStyle w:val="11"/>
        <w:numPr>
          <w:ilvl w:val="0"/>
          <w:numId w:val="21"/>
        </w:numPr>
        <w:tabs>
          <w:tab w:val="left" w:pos="1363"/>
        </w:tabs>
        <w:spacing w:line="214" w:lineRule="auto"/>
        <w:ind w:firstLine="560"/>
      </w:pPr>
      <w:bookmarkStart w:id="173" w:name="bookmark177"/>
      <w:bookmarkEnd w:id="173"/>
      <w:r>
        <w:t>Контрольный комитет Союза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14:paraId="4B82E440" w14:textId="77777777" w:rsidR="0052442A" w:rsidRDefault="0012717E">
      <w:pPr>
        <w:pStyle w:val="11"/>
        <w:numPr>
          <w:ilvl w:val="0"/>
          <w:numId w:val="21"/>
        </w:numPr>
        <w:tabs>
          <w:tab w:val="left" w:pos="1363"/>
        </w:tabs>
        <w:spacing w:line="214" w:lineRule="auto"/>
        <w:ind w:firstLine="560"/>
      </w:pPr>
      <w:bookmarkStart w:id="174" w:name="bookmark178"/>
      <w:bookmarkEnd w:id="174"/>
      <w:r>
        <w:t xml:space="preserve">Для расчета показателя вероятности несоблюдения обязательных </w:t>
      </w:r>
      <w:r>
        <w:t xml:space="preserve">требований </w:t>
      </w:r>
      <w:r>
        <w:lastRenderedPageBreak/>
        <w:t>в приложении 3 установлена допустимая частота проявления каждого фактора риска за определенный промежуток времени, а также шкала оценки от 1 до 6 с шагом 1, в которой</w:t>
      </w:r>
    </w:p>
    <w:p w14:paraId="777B4636" w14:textId="77777777" w:rsidR="0052442A" w:rsidRDefault="0012717E">
      <w:pPr>
        <w:pStyle w:val="11"/>
        <w:spacing w:line="214" w:lineRule="auto"/>
        <w:ind w:firstLine="0"/>
      </w:pPr>
      <w:r>
        <w:t>1 соответствует очень низкой вероятности реализации риска, 6 ־ чрезвычайно высокой вероятности реализации риска.</w:t>
      </w:r>
    </w:p>
    <w:p w14:paraId="4F417E8D" w14:textId="77777777" w:rsidR="0052442A" w:rsidRDefault="0012717E">
      <w:pPr>
        <w:pStyle w:val="11"/>
        <w:numPr>
          <w:ilvl w:val="0"/>
          <w:numId w:val="21"/>
        </w:numPr>
        <w:tabs>
          <w:tab w:val="left" w:pos="1363"/>
        </w:tabs>
        <w:spacing w:line="214" w:lineRule="auto"/>
        <w:ind w:firstLine="560"/>
      </w:pPr>
      <w:bookmarkStart w:id="175" w:name="bookmark179"/>
      <w:bookmarkEnd w:id="175"/>
      <w:r>
        <w:t>Показатель вероятности несоблюдения обязательных требований выражается числовым значением и определяется как средняя величина фактических значе</w:t>
      </w:r>
      <w:r>
        <w:t>ний вероятности реализации факторов риска.</w:t>
      </w:r>
    </w:p>
    <w:p w14:paraId="1EA0C7A8" w14:textId="77777777" w:rsidR="0052442A" w:rsidRDefault="0012717E">
      <w:pPr>
        <w:pStyle w:val="11"/>
        <w:numPr>
          <w:ilvl w:val="0"/>
          <w:numId w:val="21"/>
        </w:numPr>
        <w:tabs>
          <w:tab w:val="left" w:pos="1363"/>
        </w:tabs>
        <w:spacing w:line="214" w:lineRule="auto"/>
        <w:ind w:firstLine="560"/>
      </w:pPr>
      <w:bookmarkStart w:id="176" w:name="bookmark180"/>
      <w:bookmarkEnd w:id="176"/>
      <w:r>
        <w:t>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категории риска "Средний риск".</w:t>
      </w:r>
    </w:p>
    <w:p w14:paraId="1918491B" w14:textId="77777777" w:rsidR="0052442A" w:rsidRDefault="0012717E">
      <w:pPr>
        <w:pStyle w:val="20"/>
        <w:keepNext/>
        <w:keepLines/>
        <w:numPr>
          <w:ilvl w:val="0"/>
          <w:numId w:val="19"/>
        </w:numPr>
        <w:tabs>
          <w:tab w:val="left" w:pos="1245"/>
        </w:tabs>
        <w:spacing w:after="0" w:line="214" w:lineRule="auto"/>
        <w:ind w:firstLine="560"/>
        <w:jc w:val="left"/>
      </w:pPr>
      <w:bookmarkStart w:id="177" w:name="bookmark183"/>
      <w:bookmarkStart w:id="178" w:name="bookmark181"/>
      <w:bookmarkStart w:id="179" w:name="bookmark182"/>
      <w:bookmarkStart w:id="180" w:name="bookmark184"/>
      <w:bookmarkEnd w:id="177"/>
      <w:r>
        <w:t>Применение результатов</w:t>
      </w:r>
      <w:r>
        <w:t xml:space="preserve"> расчета значений показателей риск- ориентированного подхода.</w:t>
      </w:r>
      <w:bookmarkEnd w:id="178"/>
      <w:bookmarkEnd w:id="179"/>
      <w:bookmarkEnd w:id="180"/>
    </w:p>
    <w:p w14:paraId="53B958D0" w14:textId="77777777" w:rsidR="0052442A" w:rsidRDefault="0012717E">
      <w:pPr>
        <w:pStyle w:val="11"/>
        <w:numPr>
          <w:ilvl w:val="0"/>
          <w:numId w:val="22"/>
        </w:numPr>
        <w:tabs>
          <w:tab w:val="left" w:pos="1440"/>
        </w:tabs>
        <w:spacing w:line="214" w:lineRule="auto"/>
        <w:ind w:firstLine="560"/>
      </w:pPr>
      <w:bookmarkStart w:id="181" w:name="bookmark185"/>
      <w:bookmarkEnd w:id="181"/>
      <w:r>
        <w:t>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</w:t>
      </w:r>
      <w:r>
        <w:t>ых последствий и значения показателя вероятности несоблюдения обязательных требований.</w:t>
      </w:r>
    </w:p>
    <w:p w14:paraId="089112C3" w14:textId="77777777" w:rsidR="0052442A" w:rsidRDefault="0012717E">
      <w:pPr>
        <w:pStyle w:val="11"/>
        <w:spacing w:line="214" w:lineRule="auto"/>
        <w:ind w:firstLine="560"/>
      </w:pPr>
      <w:r>
        <w:t>Определение итогового результата расчета значений показателей риск- ориентированного подхода осуществляет Контрольный комитет Союза.</w:t>
      </w:r>
    </w:p>
    <w:p w14:paraId="4089653B" w14:textId="77777777" w:rsidR="0052442A" w:rsidRDefault="0012717E">
      <w:pPr>
        <w:pStyle w:val="11"/>
        <w:numPr>
          <w:ilvl w:val="0"/>
          <w:numId w:val="22"/>
        </w:numPr>
        <w:tabs>
          <w:tab w:val="left" w:pos="1443"/>
        </w:tabs>
        <w:spacing w:after="420" w:line="214" w:lineRule="auto"/>
        <w:ind w:firstLine="560"/>
      </w:pPr>
      <w:bookmarkStart w:id="182" w:name="bookmark186"/>
      <w:bookmarkEnd w:id="182"/>
      <w:r>
        <w:t>При определении итогового результата</w:t>
      </w:r>
      <w:r>
        <w:t xml:space="preserve"> расчета значений показателей значимость риска определяется по целому числу без использования округления. Итоговый результат расчета значений показателей риск-ориентированного подхода используется Союзом для определения формы и периодичности мероприятий по</w:t>
      </w:r>
      <w:r>
        <w:t xml:space="preserve"> контролю соблюдения членом Союза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подготовке проектной документации объек</w:t>
      </w:r>
      <w:r>
        <w:t>тов капитального строительства, утвержденных НОПРИЗ, требований стандартов Союза, в том числе квалификационных стандартов, условий членства в Союзе и иных внутренних документов Союза, в соответствии с Приложением 4.</w:t>
      </w:r>
    </w:p>
    <w:p w14:paraId="71FD7095" w14:textId="57731ED2" w:rsidR="0052442A" w:rsidRDefault="00320D25" w:rsidP="00320D25">
      <w:pPr>
        <w:pStyle w:val="20"/>
        <w:keepNext/>
        <w:keepLines/>
        <w:tabs>
          <w:tab w:val="left" w:pos="406"/>
        </w:tabs>
        <w:spacing w:after="240" w:line="214" w:lineRule="auto"/>
      </w:pPr>
      <w:bookmarkStart w:id="183" w:name="bookmark189"/>
      <w:bookmarkStart w:id="184" w:name="bookmark187"/>
      <w:bookmarkStart w:id="185" w:name="bookmark188"/>
      <w:bookmarkStart w:id="186" w:name="bookmark190"/>
      <w:bookmarkEnd w:id="183"/>
      <w:r>
        <w:rPr>
          <w:lang w:val="en-US"/>
        </w:rPr>
        <w:t xml:space="preserve">11. </w:t>
      </w:r>
      <w:r w:rsidR="0012717E">
        <w:t>Порядок хранения документов</w:t>
      </w:r>
      <w:bookmarkEnd w:id="184"/>
      <w:bookmarkEnd w:id="185"/>
      <w:bookmarkEnd w:id="186"/>
    </w:p>
    <w:p w14:paraId="22D4F067" w14:textId="77777777" w:rsidR="0052442A" w:rsidRDefault="0012717E">
      <w:pPr>
        <w:pStyle w:val="11"/>
        <w:numPr>
          <w:ilvl w:val="0"/>
          <w:numId w:val="23"/>
        </w:numPr>
        <w:tabs>
          <w:tab w:val="left" w:pos="1137"/>
        </w:tabs>
        <w:spacing w:line="204" w:lineRule="auto"/>
        <w:ind w:firstLine="560"/>
      </w:pPr>
      <w:bookmarkStart w:id="187" w:name="bookmark191"/>
      <w:bookmarkEnd w:id="187"/>
      <w:r>
        <w:t>Документы, п</w:t>
      </w:r>
      <w:r>
        <w:t>олученные либо составленные при подготовке и осуществлении проверок, подлежат включению в хронологическом порядке в дело члена Союза.</w:t>
      </w:r>
    </w:p>
    <w:p w14:paraId="5E176506" w14:textId="77777777" w:rsidR="0052442A" w:rsidRDefault="0012717E">
      <w:pPr>
        <w:pStyle w:val="11"/>
        <w:numPr>
          <w:ilvl w:val="0"/>
          <w:numId w:val="23"/>
        </w:numPr>
        <w:tabs>
          <w:tab w:val="left" w:pos="1144"/>
        </w:tabs>
        <w:spacing w:line="204" w:lineRule="auto"/>
        <w:ind w:firstLine="560"/>
      </w:pPr>
      <w:bookmarkStart w:id="188" w:name="bookmark192"/>
      <w:bookmarkEnd w:id="188"/>
      <w:r>
        <w:t>Подлежат хранению документы, полученные либо составленные при подготовке и осуществлении проверок:</w:t>
      </w:r>
    </w:p>
    <w:p w14:paraId="428B8D91" w14:textId="77777777" w:rsidR="0052442A" w:rsidRDefault="0012717E">
      <w:pPr>
        <w:pStyle w:val="11"/>
        <w:numPr>
          <w:ilvl w:val="0"/>
          <w:numId w:val="3"/>
        </w:numPr>
        <w:tabs>
          <w:tab w:val="left" w:pos="201"/>
        </w:tabs>
        <w:spacing w:line="218" w:lineRule="auto"/>
        <w:ind w:firstLine="0"/>
      </w:pPr>
      <w:bookmarkStart w:id="189" w:name="bookmark193"/>
      <w:bookmarkEnd w:id="189"/>
      <w:r>
        <w:t>уведомления о проверках</w:t>
      </w:r>
      <w:r>
        <w:t>, планы проверок, запросы Комитета о предоставлении информации и документов;</w:t>
      </w:r>
    </w:p>
    <w:p w14:paraId="7EC2CD36" w14:textId="77777777" w:rsidR="0052442A" w:rsidRDefault="0012717E">
      <w:pPr>
        <w:pStyle w:val="11"/>
        <w:spacing w:line="218" w:lineRule="auto"/>
        <w:ind w:firstLine="0"/>
      </w:pPr>
      <w:r>
        <w:t xml:space="preserve">представленные членом Союза документы (не подлежащие возврату члену Союза); представления Ответственного секретаря Дисциплинарного комитета Союза и (или) Директора Союза о </w:t>
      </w:r>
      <w:r>
        <w:t>проведении внеплановых проверок;</w:t>
      </w:r>
    </w:p>
    <w:p w14:paraId="12479325" w14:textId="77777777" w:rsidR="0052442A" w:rsidRDefault="0012717E">
      <w:pPr>
        <w:pStyle w:val="11"/>
        <w:numPr>
          <w:ilvl w:val="0"/>
          <w:numId w:val="3"/>
        </w:numPr>
        <w:tabs>
          <w:tab w:val="left" w:pos="208"/>
        </w:tabs>
        <w:spacing w:line="218" w:lineRule="auto"/>
        <w:ind w:firstLine="0"/>
      </w:pPr>
      <w:bookmarkStart w:id="190" w:name="bookmark194"/>
      <w:bookmarkEnd w:id="190"/>
      <w:r>
        <w:t>уведомления членов Союза и о приглашении на заседания Контрольного или Дисциплинарного комитета;</w:t>
      </w:r>
    </w:p>
    <w:p w14:paraId="5EE4B61A" w14:textId="77777777" w:rsidR="0052442A" w:rsidRDefault="0012717E">
      <w:pPr>
        <w:pStyle w:val="11"/>
        <w:numPr>
          <w:ilvl w:val="0"/>
          <w:numId w:val="3"/>
        </w:numPr>
        <w:tabs>
          <w:tab w:val="left" w:pos="205"/>
        </w:tabs>
        <w:spacing w:line="218" w:lineRule="auto"/>
        <w:ind w:firstLine="0"/>
      </w:pPr>
      <w:bookmarkStart w:id="191" w:name="bookmark195"/>
      <w:bookmarkEnd w:id="191"/>
      <w:r>
        <w:t>акты проверок и их приложения;</w:t>
      </w:r>
    </w:p>
    <w:p w14:paraId="072ADE1D" w14:textId="77777777" w:rsidR="0052442A" w:rsidRDefault="0012717E">
      <w:pPr>
        <w:pStyle w:val="11"/>
        <w:numPr>
          <w:ilvl w:val="0"/>
          <w:numId w:val="3"/>
        </w:numPr>
        <w:tabs>
          <w:tab w:val="left" w:pos="208"/>
        </w:tabs>
        <w:spacing w:line="218" w:lineRule="auto"/>
        <w:ind w:firstLine="0"/>
      </w:pPr>
      <w:bookmarkStart w:id="192" w:name="bookmark196"/>
      <w:bookmarkEnd w:id="192"/>
      <w:r>
        <w:t>предписания Дисциплинарного комитета со сроками устранения членами Союза выявленных нарушений;</w:t>
      </w:r>
    </w:p>
    <w:p w14:paraId="1297A9C6" w14:textId="77777777" w:rsidR="0052442A" w:rsidRDefault="0012717E">
      <w:pPr>
        <w:pStyle w:val="11"/>
        <w:numPr>
          <w:ilvl w:val="0"/>
          <w:numId w:val="3"/>
        </w:numPr>
        <w:tabs>
          <w:tab w:val="left" w:pos="212"/>
        </w:tabs>
        <w:spacing w:line="218" w:lineRule="auto"/>
        <w:ind w:firstLine="0"/>
      </w:pPr>
      <w:bookmarkStart w:id="193" w:name="bookmark197"/>
      <w:bookmarkEnd w:id="193"/>
      <w:r>
        <w:t>планы мероприятий членов Союза по устранению выявленных нарушений, извещения об исполнении предписаний Дисциплинарного комитета, и иные документы, получаемые от членов Союза по вопросам проверок; обращения организаций и граждан и иные документы, получаемые</w:t>
      </w:r>
      <w:r>
        <w:t xml:space="preserve"> Союзом в отношении членов Союза.</w:t>
      </w:r>
    </w:p>
    <w:p w14:paraId="5F58BCFC" w14:textId="77777777" w:rsidR="0052442A" w:rsidRDefault="0012717E">
      <w:pPr>
        <w:pStyle w:val="11"/>
        <w:numPr>
          <w:ilvl w:val="0"/>
          <w:numId w:val="23"/>
        </w:numPr>
        <w:tabs>
          <w:tab w:val="left" w:pos="1148"/>
        </w:tabs>
        <w:spacing w:after="240" w:line="218" w:lineRule="auto"/>
        <w:ind w:firstLine="560"/>
      </w:pPr>
      <w:bookmarkStart w:id="194" w:name="bookmark198"/>
      <w:bookmarkEnd w:id="194"/>
      <w:r>
        <w:t>Документы, указанные в пункте 11.2. настоящих Правил, подлежат хранению в течении 10 лет, с обеспечением доступа к ним только уполномоченных Союзом лиц.</w:t>
      </w:r>
    </w:p>
    <w:p w14:paraId="6A570841" w14:textId="727796EF" w:rsidR="0052442A" w:rsidRDefault="00320D25" w:rsidP="00320D25">
      <w:pPr>
        <w:pStyle w:val="20"/>
        <w:keepNext/>
        <w:keepLines/>
        <w:tabs>
          <w:tab w:val="left" w:pos="410"/>
        </w:tabs>
        <w:spacing w:after="260" w:line="240" w:lineRule="auto"/>
      </w:pPr>
      <w:bookmarkStart w:id="195" w:name="bookmark201"/>
      <w:bookmarkStart w:id="196" w:name="bookmark199"/>
      <w:bookmarkStart w:id="197" w:name="bookmark200"/>
      <w:bookmarkStart w:id="198" w:name="bookmark202"/>
      <w:bookmarkEnd w:id="195"/>
      <w:r>
        <w:rPr>
          <w:lang w:val="en-US"/>
        </w:rPr>
        <w:t xml:space="preserve">12. </w:t>
      </w:r>
      <w:r w:rsidR="0012717E">
        <w:t>Заключительные положения</w:t>
      </w:r>
      <w:bookmarkEnd w:id="196"/>
      <w:bookmarkEnd w:id="197"/>
      <w:bookmarkEnd w:id="198"/>
    </w:p>
    <w:p w14:paraId="27E4975B" w14:textId="77777777" w:rsidR="0052442A" w:rsidRDefault="0012717E">
      <w:pPr>
        <w:pStyle w:val="11"/>
        <w:numPr>
          <w:ilvl w:val="0"/>
          <w:numId w:val="24"/>
        </w:numPr>
        <w:tabs>
          <w:tab w:val="left" w:pos="1188"/>
        </w:tabs>
        <w:spacing w:line="276" w:lineRule="auto"/>
        <w:ind w:firstLine="620"/>
      </w:pPr>
      <w:bookmarkStart w:id="199" w:name="bookmark203"/>
      <w:bookmarkEnd w:id="199"/>
      <w:r>
        <w:t>Настоящее положение принимается коллегиальны</w:t>
      </w:r>
      <w:r>
        <w:t>м органом управления и вступает в силу со дня внесения сведений о нем уполномоченным государственным органом (Ростехнадзор) в государственный реестр саморегулируемых организаций.</w:t>
      </w:r>
    </w:p>
    <w:p w14:paraId="078F4D90" w14:textId="77777777" w:rsidR="0052442A" w:rsidRDefault="0012717E">
      <w:pPr>
        <w:pStyle w:val="11"/>
        <w:numPr>
          <w:ilvl w:val="0"/>
          <w:numId w:val="24"/>
        </w:numPr>
        <w:tabs>
          <w:tab w:val="left" w:pos="1137"/>
        </w:tabs>
        <w:spacing w:after="120" w:line="276" w:lineRule="auto"/>
        <w:ind w:firstLine="560"/>
        <w:sectPr w:rsidR="0052442A"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896" w:right="771" w:bottom="1237" w:left="1722" w:header="0" w:footer="3" w:gutter="0"/>
          <w:cols w:space="720"/>
          <w:noEndnote/>
          <w:docGrid w:linePitch="360"/>
          <w15:footnoteColumns w:val="1"/>
        </w:sectPr>
      </w:pPr>
      <w:bookmarkStart w:id="200" w:name="bookmark204"/>
      <w:bookmarkEnd w:id="200"/>
      <w:r>
        <w:lastRenderedPageBreak/>
        <w:t>Если в результате изменения законодательства и нормат</w:t>
      </w:r>
      <w:r>
        <w:t>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</w:t>
      </w:r>
      <w:r>
        <w:t>ными актами Российской Федерации.</w:t>
      </w:r>
    </w:p>
    <w:p w14:paraId="1F9F3613" w14:textId="77777777" w:rsidR="0052442A" w:rsidRDefault="0012717E">
      <w:pPr>
        <w:pStyle w:val="24"/>
        <w:spacing w:line="254" w:lineRule="auto"/>
      </w:pPr>
      <w:r>
        <w:lastRenderedPageBreak/>
        <w:t>допустимые значения тяжести потенциальных негативных последствий факторов риска,</w:t>
      </w:r>
      <w:r>
        <w:br/>
        <w:t>рассматриваемых при определении показателя тяжести потенциальных негативных</w:t>
      </w:r>
      <w:r>
        <w:br/>
      </w:r>
      <w:proofErr w:type="spellStart"/>
      <w:r>
        <w:t>носледствий</w:t>
      </w:r>
      <w:proofErr w:type="spellEnd"/>
      <w:r>
        <w:t>, в случае осуществления подготовки проектной документ</w:t>
      </w:r>
      <w:r>
        <w:t>ации особо опасных,</w:t>
      </w:r>
      <w:r>
        <w:br/>
        <w:t>технически сложных и уникальных объектов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3118"/>
        <w:gridCol w:w="1919"/>
        <w:gridCol w:w="1256"/>
        <w:gridCol w:w="2614"/>
      </w:tblGrid>
      <w:tr w:rsidR="0052442A" w14:paraId="75A58FC6" w14:textId="77777777" w:rsidTr="00320D25">
        <w:tblPrEx>
          <w:tblCellMar>
            <w:top w:w="0" w:type="dxa"/>
            <w:bottom w:w="0" w:type="dxa"/>
          </w:tblCellMar>
        </w:tblPrEx>
        <w:trPr>
          <w:trHeight w:hRule="exact" w:val="100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A498D" w14:textId="6D2D9507" w:rsidR="0052442A" w:rsidRPr="00320D25" w:rsidRDefault="00320D25">
            <w:pPr>
              <w:pStyle w:val="26"/>
              <w:rPr>
                <w:lang w:bidi="he-IL"/>
              </w:rPr>
            </w:pPr>
            <w:r>
              <w:rPr>
                <w:lang w:bidi="he-IL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671C" w14:textId="77777777" w:rsidR="0052442A" w:rsidRDefault="0012717E">
            <w:pPr>
              <w:pStyle w:val="a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4828C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риска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12BEC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Значимость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EC842" w14:textId="77777777" w:rsidR="0052442A" w:rsidRDefault="0012717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52442A" w14:paraId="0D008AA2" w14:textId="77777777" w:rsidTr="00320D25">
        <w:tblPrEx>
          <w:tblCellMar>
            <w:top w:w="0" w:type="dxa"/>
            <w:bottom w:w="0" w:type="dxa"/>
          </w:tblCellMar>
        </w:tblPrEx>
        <w:trPr>
          <w:trHeight w:hRule="exact" w:val="26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98C3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64DB1" w14:textId="77777777" w:rsidR="0052442A" w:rsidRDefault="0012717E">
            <w:pPr>
              <w:pStyle w:val="ab"/>
              <w:spacing w:line="25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фактов и размер возмещения вреда, и </w:t>
            </w:r>
            <w:r>
              <w:rPr>
                <w:sz w:val="20"/>
                <w:szCs w:val="20"/>
              </w:rPr>
              <w:t>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3C12" w14:textId="77777777" w:rsidR="0052442A" w:rsidRDefault="0052442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03DED" w14:textId="77777777" w:rsidR="0052442A" w:rsidRDefault="0052442A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4A090" w14:textId="77777777" w:rsidR="0052442A" w:rsidRDefault="0052442A">
            <w:pPr>
              <w:rPr>
                <w:sz w:val="10"/>
                <w:szCs w:val="10"/>
              </w:rPr>
            </w:pPr>
          </w:p>
        </w:tc>
      </w:tr>
      <w:tr w:rsidR="0052442A" w14:paraId="39D452CC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325EA" w14:textId="77777777" w:rsidR="0052442A" w:rsidRDefault="0052442A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283A3" w14:textId="77777777" w:rsidR="0052442A" w:rsidRDefault="0012717E">
            <w:pPr>
              <w:pStyle w:val="ab"/>
              <w:spacing w:line="252" w:lineRule="auto"/>
              <w:ind w:left="440" w:hanging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Наличие фактов возмещения вреда и </w:t>
            </w:r>
            <w:r>
              <w:rPr>
                <w:sz w:val="20"/>
                <w:szCs w:val="20"/>
              </w:rPr>
              <w:t>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0C0D4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28332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FEA83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442A" w14:paraId="3883901A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792039" w14:textId="77777777" w:rsidR="0052442A" w:rsidRDefault="0052442A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D5E274" w14:textId="77777777" w:rsidR="0052442A" w:rsidRDefault="0052442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D5B60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7468B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A2614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</w:p>
        </w:tc>
      </w:tr>
      <w:tr w:rsidR="0052442A" w14:paraId="6398DA76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3C102F" w14:textId="77777777" w:rsidR="0052442A" w:rsidRDefault="0052442A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45B3A3" w14:textId="77777777" w:rsidR="0052442A" w:rsidRDefault="0052442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968E1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9527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D40B8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</w:t>
            </w:r>
          </w:p>
        </w:tc>
      </w:tr>
      <w:tr w:rsidR="0052442A" w14:paraId="76E0D9ED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01D860" w14:textId="77777777" w:rsidR="0052442A" w:rsidRDefault="0052442A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D6D037" w14:textId="77777777" w:rsidR="0052442A" w:rsidRDefault="0052442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E92D7" w14:textId="77777777" w:rsidR="0052442A" w:rsidRDefault="0012717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192D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6895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</w:t>
            </w:r>
          </w:p>
        </w:tc>
      </w:tr>
      <w:tr w:rsidR="0052442A" w14:paraId="0BDA2879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153FD3" w14:textId="77777777" w:rsidR="0052442A" w:rsidRDefault="0052442A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E5CB0" w14:textId="77777777" w:rsidR="0052442A" w:rsidRDefault="0052442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6C061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F070E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E784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</w:tr>
      <w:tr w:rsidR="0052442A" w14:paraId="1014FB9E" w14:textId="7777777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4F5F28" w14:textId="77777777" w:rsidR="0052442A" w:rsidRDefault="0052442A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025A06" w14:textId="77777777" w:rsidR="0052442A" w:rsidRDefault="0052442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5F83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0FB6E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A98CE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</w:t>
            </w:r>
          </w:p>
        </w:tc>
      </w:tr>
      <w:tr w:rsidR="0052442A" w14:paraId="2187F29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59BB7" w14:textId="77777777" w:rsidR="0052442A" w:rsidRDefault="0052442A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3819D" w14:textId="77777777" w:rsidR="0052442A" w:rsidRDefault="0012717E">
            <w:pPr>
              <w:pStyle w:val="ab"/>
              <w:spacing w:line="254" w:lineRule="auto"/>
              <w:ind w:left="440" w:hanging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Размер возмещения вреда и выплаты компенсации сверх возмещения вреда из средств компенсационного фонда </w:t>
            </w:r>
            <w:r>
              <w:rPr>
                <w:sz w:val="20"/>
                <w:szCs w:val="20"/>
              </w:rPr>
              <w:t>возмещения вреда Союза или за счет возмещения вследствие недостатков работ, выполненных объектом контроля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03E79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98B04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6D0D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442A" w14:paraId="02108F44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2AD86" w14:textId="77777777" w:rsidR="0052442A" w:rsidRDefault="0052442A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77D4A3" w14:textId="77777777" w:rsidR="0052442A" w:rsidRDefault="0052442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51481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087E8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AB07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 млн. руб.</w:t>
            </w:r>
          </w:p>
        </w:tc>
      </w:tr>
      <w:tr w:rsidR="0052442A" w14:paraId="5F74FEA9" w14:textId="77777777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54C27F" w14:textId="77777777" w:rsidR="0052442A" w:rsidRDefault="0052442A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B67514" w14:textId="77777777" w:rsidR="0052442A" w:rsidRDefault="0052442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6632C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5FD5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447D8" w14:textId="77777777" w:rsidR="0052442A" w:rsidRDefault="0012717E">
            <w:pPr>
              <w:pStyle w:val="ab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млн. руб.</w:t>
            </w:r>
          </w:p>
        </w:tc>
      </w:tr>
      <w:tr w:rsidR="0052442A" w14:paraId="4A81D52B" w14:textId="77777777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5A8764" w14:textId="77777777" w:rsidR="0052442A" w:rsidRDefault="0052442A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08D3AD" w14:textId="77777777" w:rsidR="0052442A" w:rsidRDefault="0052442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D9792" w14:textId="77777777" w:rsidR="0052442A" w:rsidRDefault="0012717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A278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194AE" w14:textId="77777777" w:rsidR="0052442A" w:rsidRDefault="0012717E">
            <w:pPr>
              <w:pStyle w:val="ab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 млн. руб.</w:t>
            </w:r>
          </w:p>
        </w:tc>
      </w:tr>
      <w:tr w:rsidR="0052442A" w14:paraId="43ADCFF1" w14:textId="77777777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DB9EAC" w14:textId="77777777" w:rsidR="0052442A" w:rsidRDefault="0052442A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631457" w14:textId="77777777" w:rsidR="0052442A" w:rsidRDefault="0052442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FF7CB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1E455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19CEB" w14:textId="77777777" w:rsidR="0052442A" w:rsidRDefault="0012717E">
            <w:pPr>
              <w:pStyle w:val="ab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 млн. руб.</w:t>
            </w:r>
          </w:p>
        </w:tc>
      </w:tr>
      <w:tr w:rsidR="0052442A" w14:paraId="7C245955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F31F4" w14:textId="77777777" w:rsidR="0052442A" w:rsidRDefault="0052442A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C62F1" w14:textId="77777777" w:rsidR="0052442A" w:rsidRDefault="0052442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C706D" w14:textId="77777777" w:rsidR="0052442A" w:rsidRDefault="0012717E">
            <w:pPr>
              <w:pStyle w:val="ab"/>
              <w:spacing w:line="252" w:lineRule="auto"/>
              <w:ind w:left="280"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1B3E8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8880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50 млн. руб.</w:t>
            </w:r>
          </w:p>
        </w:tc>
      </w:tr>
    </w:tbl>
    <w:p w14:paraId="198412FC" w14:textId="77777777" w:rsidR="0052442A" w:rsidRDefault="0012717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139"/>
        <w:gridCol w:w="1930"/>
        <w:gridCol w:w="1202"/>
        <w:gridCol w:w="2621"/>
      </w:tblGrid>
      <w:tr w:rsidR="0052442A" w14:paraId="1B940B3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8FFD2" w14:textId="77777777" w:rsidR="0052442A" w:rsidRDefault="0012717E">
            <w:pPr>
              <w:pStyle w:val="ab"/>
              <w:spacing w:before="2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B16EB" w14:textId="77777777" w:rsidR="0052442A" w:rsidRDefault="0012717E">
            <w:pPr>
              <w:pStyle w:val="ab"/>
              <w:spacing w:line="25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</w:t>
            </w:r>
            <w:r>
              <w:rPr>
                <w:sz w:val="20"/>
                <w:szCs w:val="20"/>
              </w:rPr>
              <w:t>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B2A7B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14:paraId="3069AD4A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129CC6B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442A" w14:paraId="435221D0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7F6832" w14:textId="77777777" w:rsidR="0052442A" w:rsidRDefault="0052442A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CCFB83" w14:textId="77777777" w:rsidR="0052442A" w:rsidRDefault="0052442A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9B705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14:paraId="444EF9E8" w14:textId="77777777" w:rsidR="0052442A" w:rsidRDefault="0052442A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4D610E0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</w:p>
        </w:tc>
      </w:tr>
      <w:tr w:rsidR="0052442A" w14:paraId="2A100C4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E80A7E" w14:textId="77777777" w:rsidR="0052442A" w:rsidRDefault="0052442A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E76D20" w14:textId="77777777" w:rsidR="0052442A" w:rsidRDefault="0052442A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26E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14:paraId="0FAC9584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AF091A3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</w:t>
            </w:r>
          </w:p>
        </w:tc>
      </w:tr>
      <w:tr w:rsidR="0052442A" w14:paraId="0CEE3552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B30523" w14:textId="77777777" w:rsidR="0052442A" w:rsidRDefault="0052442A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D8DC4B" w14:textId="77777777" w:rsidR="0052442A" w:rsidRDefault="0052442A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7F525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14:paraId="1ED48CB9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B27477C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</w:t>
            </w:r>
          </w:p>
        </w:tc>
      </w:tr>
      <w:tr w:rsidR="0052442A" w14:paraId="211C55FE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803307" w14:textId="77777777" w:rsidR="0052442A" w:rsidRDefault="0052442A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325BC6" w14:textId="77777777" w:rsidR="0052442A" w:rsidRDefault="0052442A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798AA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>
              <w:rPr>
                <w:sz w:val="20"/>
                <w:szCs w:val="20"/>
              </w:rPr>
              <w:t>риск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14:paraId="69A89483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564EDE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</w:tr>
      <w:tr w:rsidR="0052442A" w14:paraId="79337996" w14:textId="77777777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1BC5B7" w14:textId="77777777" w:rsidR="0052442A" w:rsidRDefault="0052442A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7CF284" w14:textId="77777777" w:rsidR="0052442A" w:rsidRDefault="0052442A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0A784" w14:textId="77777777" w:rsidR="0052442A" w:rsidRDefault="0012717E">
            <w:pPr>
              <w:pStyle w:val="ab"/>
              <w:ind w:left="300"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14:paraId="17D74C92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9A139CE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</w:t>
            </w:r>
          </w:p>
        </w:tc>
      </w:tr>
      <w:tr w:rsidR="0052442A" w14:paraId="1A5D5DF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C62F5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2766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максимальный уровень ответственности члена Союза по договорам подряда на подготовку проектной документации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D381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BDA180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9E96891" w14:textId="77777777" w:rsidR="0052442A" w:rsidRDefault="0052442A">
            <w:pPr>
              <w:rPr>
                <w:sz w:val="10"/>
                <w:szCs w:val="10"/>
              </w:rPr>
            </w:pPr>
          </w:p>
        </w:tc>
      </w:tr>
      <w:tr w:rsidR="0052442A" w14:paraId="7D4053CF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9A32C" w14:textId="77777777" w:rsidR="0052442A" w:rsidRDefault="0052442A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258070" w14:textId="77777777" w:rsidR="0052442A" w:rsidRDefault="0052442A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D1E0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14:paraId="6735EE79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A8295" w14:textId="77777777" w:rsidR="0052442A" w:rsidRDefault="0012717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уровень </w:t>
            </w:r>
            <w:r>
              <w:rPr>
                <w:sz w:val="20"/>
                <w:szCs w:val="20"/>
              </w:rPr>
              <w:t>ответственности</w:t>
            </w:r>
          </w:p>
        </w:tc>
      </w:tr>
      <w:tr w:rsidR="0052442A" w14:paraId="11447D3C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DC298E" w14:textId="77777777" w:rsidR="0052442A" w:rsidRDefault="0052442A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330214" w14:textId="77777777" w:rsidR="0052442A" w:rsidRDefault="0052442A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39CC4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14:paraId="7E0213CB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0BE580B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уровень ответственности</w:t>
            </w:r>
          </w:p>
        </w:tc>
      </w:tr>
      <w:tr w:rsidR="0052442A" w14:paraId="64E4A743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85151B" w14:textId="77777777" w:rsidR="0052442A" w:rsidRDefault="0052442A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876A07" w14:textId="77777777" w:rsidR="0052442A" w:rsidRDefault="0052442A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B5161" w14:textId="77777777" w:rsidR="0052442A" w:rsidRDefault="0012717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14:paraId="186DD0FB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6DF63" w14:textId="77777777" w:rsidR="0052442A" w:rsidRDefault="0012717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уровень ответственности</w:t>
            </w:r>
          </w:p>
        </w:tc>
      </w:tr>
      <w:tr w:rsidR="0052442A" w14:paraId="36871A5C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1AE6D" w14:textId="77777777" w:rsidR="0052442A" w:rsidRDefault="0052442A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D5373" w14:textId="77777777" w:rsidR="0052442A" w:rsidRDefault="0052442A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76A6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F99C34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45DF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 уровень ответственности</w:t>
            </w:r>
          </w:p>
        </w:tc>
      </w:tr>
    </w:tbl>
    <w:p w14:paraId="780B048D" w14:textId="77777777" w:rsidR="0052442A" w:rsidRDefault="0012717E">
      <w:pPr>
        <w:spacing w:line="1" w:lineRule="exact"/>
        <w:rPr>
          <w:sz w:val="2"/>
          <w:szCs w:val="2"/>
        </w:rPr>
      </w:pPr>
      <w:r>
        <w:br w:type="page"/>
      </w:r>
    </w:p>
    <w:p w14:paraId="59BA8550" w14:textId="6E1C6D12" w:rsidR="0052442A" w:rsidRPr="002F5B4E" w:rsidRDefault="002F5B4E">
      <w:pPr>
        <w:pStyle w:val="24"/>
        <w:spacing w:after="420" w:line="259" w:lineRule="auto"/>
      </w:pPr>
      <w:r w:rsidRPr="002F5B4E">
        <w:lastRenderedPageBreak/>
        <w:t>Допустимая</w:t>
      </w:r>
      <w:r w:rsidR="0012717E" w:rsidRPr="002F5B4E">
        <w:t xml:space="preserve"> </w:t>
      </w:r>
      <w:r w:rsidR="0012717E" w:rsidRPr="002F5B4E">
        <w:t xml:space="preserve">частота </w:t>
      </w:r>
      <w:r w:rsidR="0012717E" w:rsidRPr="002F5B4E">
        <w:t xml:space="preserve">проявления каждого фактора риска за определенный </w:t>
      </w:r>
      <w:r w:rsidR="0012717E" w:rsidRPr="002F5B4E">
        <w:t>промежуток</w:t>
      </w:r>
      <w:r w:rsidR="0012717E" w:rsidRPr="002F5B4E">
        <w:br/>
      </w:r>
      <w:r w:rsidRPr="002F5B4E">
        <w:t xml:space="preserve">времени и </w:t>
      </w:r>
      <w:r w:rsidR="0012717E" w:rsidRPr="002F5B4E">
        <w:t xml:space="preserve">Шкала </w:t>
      </w:r>
      <w:r w:rsidR="0012717E" w:rsidRPr="002F5B4E">
        <w:t>оценки вероятности реализации риска для расчета показателя</w:t>
      </w:r>
      <w:r w:rsidR="0012717E" w:rsidRPr="002F5B4E">
        <w:br/>
      </w:r>
      <w:r w:rsidRPr="002F5B4E">
        <w:t>вероятности</w:t>
      </w:r>
      <w:r w:rsidR="0012717E" w:rsidRPr="002F5B4E">
        <w:t xml:space="preserve"> </w:t>
      </w:r>
      <w:r w:rsidR="0012717E" w:rsidRPr="002F5B4E">
        <w:t>несоблюдения обязательных требований при применении риск-</w:t>
      </w:r>
      <w:r w:rsidR="0012717E" w:rsidRPr="002F5B4E">
        <w:br/>
        <w:t>ориентированного подхода</w:t>
      </w:r>
    </w:p>
    <w:tbl>
      <w:tblPr>
        <w:tblOverlap w:val="never"/>
        <w:tblW w:w="97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3196"/>
        <w:gridCol w:w="1965"/>
        <w:gridCol w:w="1942"/>
        <w:gridCol w:w="1961"/>
      </w:tblGrid>
      <w:tr w:rsidR="0052442A" w14:paraId="27A7CEC2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123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4413" w14:textId="4E75B343" w:rsidR="0052442A" w:rsidRDefault="00320D25">
            <w:pPr>
              <w:pStyle w:val="ab"/>
              <w:spacing w:line="223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569F8" w14:textId="77777777" w:rsidR="0052442A" w:rsidRDefault="0012717E">
            <w:pPr>
              <w:pStyle w:val="ab"/>
              <w:spacing w:before="2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F322" w14:textId="77777777" w:rsidR="0052442A" w:rsidRDefault="0012717E">
            <w:pPr>
              <w:pStyle w:val="ab"/>
              <w:spacing w:before="28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риска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4759" w14:textId="77777777" w:rsidR="0052442A" w:rsidRDefault="0012717E">
            <w:pPr>
              <w:pStyle w:val="ab"/>
              <w:spacing w:before="2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82607" w14:textId="77777777" w:rsidR="0052442A" w:rsidRDefault="0012717E">
            <w:pPr>
              <w:pStyle w:val="ab"/>
              <w:spacing w:line="25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Допустимые значения частоты проявления факторов риска за год</w:t>
            </w:r>
          </w:p>
        </w:tc>
      </w:tr>
      <w:tr w:rsidR="0052442A" w14:paraId="5C81CC63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3B7C0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D2155" w14:textId="77777777" w:rsidR="0052442A" w:rsidRDefault="0012717E">
            <w:pPr>
              <w:pStyle w:val="ab"/>
              <w:spacing w:line="25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98F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D027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454B1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442A" w14:paraId="0BE19ECD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8AD3BE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EA21CD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F800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F5C1E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C0FD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раз</w:t>
            </w:r>
          </w:p>
        </w:tc>
      </w:tr>
      <w:tr w:rsidR="0052442A" w14:paraId="12E7DDC2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95DFBC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B51127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E78C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2D2A8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846FA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 4 раз</w:t>
            </w:r>
          </w:p>
        </w:tc>
      </w:tr>
      <w:tr w:rsidR="0052442A" w14:paraId="0FCE76DA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331565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C8AD31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9010D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A17C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009A2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раз</w:t>
            </w:r>
          </w:p>
        </w:tc>
      </w:tr>
      <w:tr w:rsidR="0052442A" w14:paraId="6ABE0A0C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24B5A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01CAD0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E3EA3" w14:textId="77777777" w:rsidR="0052442A" w:rsidRDefault="0012717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5F272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2C360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раз</w:t>
            </w:r>
          </w:p>
        </w:tc>
      </w:tr>
      <w:tr w:rsidR="0052442A" w14:paraId="1505D132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455D7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ADC6AA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B2C05" w14:textId="77777777" w:rsidR="0052442A" w:rsidRDefault="0012717E">
            <w:pPr>
              <w:pStyle w:val="ab"/>
              <w:spacing w:line="252" w:lineRule="auto"/>
              <w:ind w:left="300" w:firstLin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4817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E27E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 раз</w:t>
            </w:r>
          </w:p>
        </w:tc>
      </w:tr>
      <w:tr w:rsidR="0052442A" w14:paraId="2FBD2B77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72157" w14:textId="77777777" w:rsidR="0052442A" w:rsidRDefault="0012717E">
            <w:pPr>
              <w:pStyle w:val="ab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6C699" w14:textId="77777777" w:rsidR="0052442A" w:rsidRDefault="0012717E">
            <w:pPr>
              <w:pStyle w:val="ab"/>
              <w:spacing w:line="25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решений 0 применении Союзом в отношении объекта контроля мер дисциплинарного воздействия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D93B3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83C1A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697DE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442A" w14:paraId="59CB2249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394BFA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245DD5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08E11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70C4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EBB0F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раз</w:t>
            </w:r>
          </w:p>
        </w:tc>
      </w:tr>
      <w:tr w:rsidR="0052442A" w14:paraId="02FB2CD0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EF43AD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043909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CEB6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FC62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1AA33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раз</w:t>
            </w:r>
          </w:p>
        </w:tc>
      </w:tr>
      <w:tr w:rsidR="0052442A" w14:paraId="6F2747A3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F2E992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F78738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B3F97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724C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4C3C6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раз</w:t>
            </w:r>
          </w:p>
        </w:tc>
      </w:tr>
      <w:tr w:rsidR="0052442A" w14:paraId="1B887BEE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F427B5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A42F62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A9A44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D1079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DCFC4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раз</w:t>
            </w:r>
          </w:p>
        </w:tc>
      </w:tr>
      <w:tr w:rsidR="0052442A" w14:paraId="4F3AE8F8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687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71853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3D1133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9C4B2" w14:textId="77777777" w:rsidR="0052442A" w:rsidRDefault="0012717E">
            <w:pPr>
              <w:pStyle w:val="ab"/>
              <w:spacing w:line="252" w:lineRule="auto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B9B1D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A4EB9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 раз</w:t>
            </w:r>
          </w:p>
        </w:tc>
      </w:tr>
      <w:tr w:rsidR="0052442A" w14:paraId="6E14CA43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8632A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0F968" w14:textId="77777777" w:rsidR="0052442A" w:rsidRDefault="0012717E">
            <w:pPr>
              <w:pStyle w:val="ab"/>
              <w:spacing w:line="25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фактов нарушений соответствия выполняемых работ </w:t>
            </w:r>
            <w:r>
              <w:rPr>
                <w:sz w:val="20"/>
                <w:szCs w:val="20"/>
              </w:rPr>
              <w:t>обязательным требованиям, допущенных объектом контроля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CD8A3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8E20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C423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442A" w14:paraId="04AE699F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A05278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888F3F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C52E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655A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064F9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раз</w:t>
            </w:r>
          </w:p>
        </w:tc>
      </w:tr>
      <w:tr w:rsidR="0052442A" w14:paraId="4BED60FB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16AA7A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6E4DF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71956" w14:textId="77777777" w:rsidR="0052442A" w:rsidRDefault="0012717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3E40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FB270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раз</w:t>
            </w:r>
          </w:p>
        </w:tc>
      </w:tr>
      <w:tr w:rsidR="0052442A" w14:paraId="705025E4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AE6568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753A05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FB9BF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5857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DFF18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раз</w:t>
            </w:r>
          </w:p>
        </w:tc>
      </w:tr>
      <w:tr w:rsidR="0052442A" w14:paraId="08ACC8AB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A846D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473950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EAB98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9D80A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1A7BD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раз</w:t>
            </w:r>
          </w:p>
        </w:tc>
      </w:tr>
      <w:tr w:rsidR="0052442A" w14:paraId="373F752A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9AF4C7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AD5A06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368F4" w14:textId="77777777" w:rsidR="0052442A" w:rsidRDefault="0012717E">
            <w:pPr>
              <w:pStyle w:val="ab"/>
              <w:spacing w:line="252" w:lineRule="auto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E2B23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B70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 раз</w:t>
            </w:r>
          </w:p>
        </w:tc>
      </w:tr>
      <w:tr w:rsidR="0052442A" w14:paraId="2D735398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E9C22" w14:textId="77777777" w:rsidR="0052442A" w:rsidRDefault="0012717E">
            <w:pPr>
              <w:pStyle w:val="ab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88FF4" w14:textId="77777777" w:rsidR="0052442A" w:rsidRDefault="0012717E">
            <w:pPr>
              <w:pStyle w:val="ab"/>
              <w:spacing w:line="25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фактов 0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7680C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F571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E1408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442A" w14:paraId="168D74B4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5ABC25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F0ADAE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3EF09" w14:textId="77777777" w:rsidR="0052442A" w:rsidRDefault="0012717E">
            <w:pPr>
              <w:pStyle w:val="ab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60BCD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FA804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раз</w:t>
            </w:r>
          </w:p>
        </w:tc>
      </w:tr>
      <w:tr w:rsidR="0052442A" w14:paraId="56A5F4FA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C2C94C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B15363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8AA39" w14:textId="77777777" w:rsidR="0052442A" w:rsidRDefault="0012717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71B75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52DAD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раз</w:t>
            </w:r>
          </w:p>
        </w:tc>
      </w:tr>
      <w:tr w:rsidR="0052442A" w14:paraId="46074864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B3FE53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309863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2C676" w14:textId="77777777" w:rsidR="0052442A" w:rsidRDefault="0012717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4750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B9246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раз</w:t>
            </w:r>
          </w:p>
        </w:tc>
      </w:tr>
      <w:tr w:rsidR="0052442A" w14:paraId="678364DA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7110AD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99895A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706A2" w14:textId="77777777" w:rsidR="0052442A" w:rsidRDefault="0012717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62C85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6E8F2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раз</w:t>
            </w:r>
          </w:p>
        </w:tc>
      </w:tr>
      <w:tr w:rsidR="0052442A" w14:paraId="6EA0C63D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C0F057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D0F7B9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C3DF0" w14:textId="77777777" w:rsidR="0052442A" w:rsidRDefault="0012717E">
            <w:pPr>
              <w:pStyle w:val="ab"/>
              <w:spacing w:line="252" w:lineRule="auto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0EFD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DC1CD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 раз</w:t>
            </w:r>
          </w:p>
        </w:tc>
      </w:tr>
      <w:tr w:rsidR="0052442A" w14:paraId="4C81D7C4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1FA3D" w14:textId="77777777" w:rsidR="0052442A" w:rsidRDefault="0012717E">
            <w:pPr>
              <w:pStyle w:val="ab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9B52E" w14:textId="77777777" w:rsidR="0052442A" w:rsidRDefault="0012717E">
            <w:pPr>
              <w:pStyle w:val="a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фактов 0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84FF9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0C80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63165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442A" w14:paraId="054CD3E1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3F5F82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3FC7E2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3F1C9" w14:textId="77777777" w:rsidR="0052442A" w:rsidRDefault="0012717E">
            <w:pPr>
              <w:pStyle w:val="ab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F66D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91023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раз</w:t>
            </w:r>
          </w:p>
        </w:tc>
      </w:tr>
      <w:tr w:rsidR="0052442A" w14:paraId="77FC43AF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6904F3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EFD08B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03E7C" w14:textId="77777777" w:rsidR="0052442A" w:rsidRDefault="0012717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9FAA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1D02E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 4 раз</w:t>
            </w:r>
          </w:p>
        </w:tc>
      </w:tr>
      <w:tr w:rsidR="0052442A" w14:paraId="5E6A44FC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BD7BA6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3D5883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95ED3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79833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6A44E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раз</w:t>
            </w:r>
          </w:p>
        </w:tc>
      </w:tr>
      <w:tr w:rsidR="0052442A" w14:paraId="7A789D8D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E5731B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7D9A70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AAD67" w14:textId="77777777" w:rsidR="0052442A" w:rsidRDefault="0012717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B25C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52992" w14:textId="77777777" w:rsidR="0052442A" w:rsidRDefault="0012717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раз</w:t>
            </w:r>
          </w:p>
        </w:tc>
      </w:tr>
      <w:tr w:rsidR="0052442A" w14:paraId="535372CE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1306C" w14:textId="77777777" w:rsidR="0052442A" w:rsidRDefault="0052442A"/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B5EFF" w14:textId="77777777" w:rsidR="0052442A" w:rsidRDefault="0052442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A84C94" w14:textId="77777777" w:rsidR="0052442A" w:rsidRDefault="0012717E">
            <w:pPr>
              <w:pStyle w:val="ab"/>
              <w:spacing w:line="257" w:lineRule="auto"/>
              <w:ind w:left="300" w:firstLin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EC03A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5194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 раз</w:t>
            </w:r>
          </w:p>
        </w:tc>
      </w:tr>
    </w:tbl>
    <w:tbl>
      <w:tblPr>
        <w:tblpPr w:leftFromText="180" w:rightFromText="180" w:vertAnchor="text" w:horzAnchor="margin" w:tblpY="-271"/>
        <w:tblOverlap w:val="never"/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132"/>
        <w:gridCol w:w="1930"/>
        <w:gridCol w:w="1904"/>
        <w:gridCol w:w="1930"/>
      </w:tblGrid>
      <w:tr w:rsidR="002F5B4E" w14:paraId="5B22374D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09CE0" w14:textId="77777777" w:rsidR="002F5B4E" w:rsidRDefault="002F5B4E" w:rsidP="002F5B4E">
            <w:pPr>
              <w:pStyle w:val="ab"/>
              <w:spacing w:before="260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EE2D8" w14:textId="77777777" w:rsidR="002F5B4E" w:rsidRDefault="002F5B4E" w:rsidP="002F5B4E">
            <w:pPr>
              <w:pStyle w:val="ab"/>
              <w:ind w:firstLine="0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1250E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74E23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D8A5F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B4E" w14:paraId="001FFAA8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0682D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97311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04285" w14:textId="77777777" w:rsidR="002F5B4E" w:rsidRDefault="002F5B4E" w:rsidP="002F5B4E">
            <w:pPr>
              <w:pStyle w:val="ab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4BF29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64F61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раз</w:t>
            </w:r>
          </w:p>
        </w:tc>
      </w:tr>
      <w:tr w:rsidR="002F5B4E" w14:paraId="2ADADE9A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FBE45" w14:textId="77777777" w:rsidR="002F5B4E" w:rsidRDefault="002F5B4E" w:rsidP="002F5B4E"/>
        </w:tc>
        <w:tc>
          <w:tcPr>
            <w:tcW w:w="313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34298" w14:textId="77777777" w:rsidR="002F5B4E" w:rsidRDefault="002F5B4E" w:rsidP="002F5B4E">
            <w:pPr>
              <w:pStyle w:val="ab"/>
              <w:tabs>
                <w:tab w:val="left" w:pos="129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EAE2A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C5F24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AD8C5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раз</w:t>
            </w:r>
          </w:p>
        </w:tc>
      </w:tr>
      <w:tr w:rsidR="002F5B4E" w14:paraId="1B06A03B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A760A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F2B09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2C419" w14:textId="77777777" w:rsidR="002F5B4E" w:rsidRDefault="002F5B4E" w:rsidP="002F5B4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9C608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ED74E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раз</w:t>
            </w:r>
          </w:p>
        </w:tc>
      </w:tr>
      <w:tr w:rsidR="002F5B4E" w14:paraId="26B80F52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DC98E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A296D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3F018" w14:textId="77777777" w:rsidR="002F5B4E" w:rsidRDefault="002F5B4E" w:rsidP="002F5B4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EBD16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8ABEA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раз</w:t>
            </w:r>
          </w:p>
        </w:tc>
      </w:tr>
      <w:tr w:rsidR="002F5B4E" w14:paraId="250CBA1F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0720F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4AF46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4D3CB" w14:textId="77777777" w:rsidR="002F5B4E" w:rsidRDefault="002F5B4E" w:rsidP="002F5B4E">
            <w:pPr>
              <w:pStyle w:val="ab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DD18A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C56DA" w14:textId="77777777" w:rsidR="002F5B4E" w:rsidRDefault="002F5B4E" w:rsidP="002F5B4E">
            <w:pPr>
              <w:pStyle w:val="ab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 раз</w:t>
            </w:r>
          </w:p>
        </w:tc>
      </w:tr>
      <w:tr w:rsidR="002F5B4E" w14:paraId="7829B226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CF154" w14:textId="77777777" w:rsidR="002F5B4E" w:rsidRDefault="002F5B4E" w:rsidP="002F5B4E">
            <w:pPr>
              <w:pStyle w:val="ab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31AF4" w14:textId="77777777" w:rsidR="002F5B4E" w:rsidRDefault="002F5B4E" w:rsidP="002F5B4E">
            <w:pPr>
              <w:pStyle w:val="ab"/>
              <w:spacing w:before="2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DCACC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9CAE1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8DA41" w14:textId="77777777" w:rsidR="002F5B4E" w:rsidRDefault="002F5B4E" w:rsidP="002F5B4E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2F5B4E" w14:paraId="7891AC1B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A44108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5FB908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A3BC0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31868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C1796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раз</w:t>
            </w:r>
          </w:p>
        </w:tc>
      </w:tr>
      <w:tr w:rsidR="002F5B4E" w14:paraId="01424093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84871E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402E65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07769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1E31F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2DCEE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раз</w:t>
            </w:r>
          </w:p>
        </w:tc>
      </w:tr>
      <w:tr w:rsidR="002F5B4E" w14:paraId="30895C67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B3FE06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2515FB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90F68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0DEB9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D4628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раз</w:t>
            </w:r>
          </w:p>
        </w:tc>
      </w:tr>
      <w:tr w:rsidR="002F5B4E" w14:paraId="57FE07EA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AA963D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26C30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D58F6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AA1F1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38CD1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раз</w:t>
            </w:r>
          </w:p>
        </w:tc>
      </w:tr>
      <w:tr w:rsidR="002F5B4E" w14:paraId="357B5EA1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827B9E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CD2D8B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922D6" w14:textId="77777777" w:rsidR="002F5B4E" w:rsidRDefault="002F5B4E" w:rsidP="002F5B4E">
            <w:pPr>
              <w:pStyle w:val="ab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A3099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75B02" w14:textId="77777777" w:rsidR="002F5B4E" w:rsidRDefault="002F5B4E" w:rsidP="002F5B4E">
            <w:pPr>
              <w:pStyle w:val="ab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 раз</w:t>
            </w:r>
          </w:p>
        </w:tc>
      </w:tr>
      <w:tr w:rsidR="002F5B4E" w14:paraId="2187AAF5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A068D" w14:textId="77777777" w:rsidR="002F5B4E" w:rsidRDefault="002F5B4E" w:rsidP="002F5B4E">
            <w:pPr>
              <w:pStyle w:val="ab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A34AD" w14:textId="77777777" w:rsidR="002F5B4E" w:rsidRDefault="002F5B4E" w:rsidP="002F5B4E">
            <w:pPr>
              <w:pStyle w:val="ab"/>
              <w:spacing w:before="240" w:line="25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фактов 0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3A871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1B77E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91858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B4E" w14:paraId="405F365A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B63B50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0E62C0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F2ECD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33A26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AAF2E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раз</w:t>
            </w:r>
          </w:p>
        </w:tc>
      </w:tr>
      <w:tr w:rsidR="002F5B4E" w14:paraId="097F80D7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B4EED8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3B8744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141C0" w14:textId="77777777" w:rsidR="002F5B4E" w:rsidRDefault="002F5B4E" w:rsidP="002F5B4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43AF1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60160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раз</w:t>
            </w:r>
          </w:p>
        </w:tc>
      </w:tr>
      <w:tr w:rsidR="002F5B4E" w14:paraId="5AA3D80A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7E7E16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B804DC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F30EF" w14:textId="77777777" w:rsidR="002F5B4E" w:rsidRDefault="002F5B4E" w:rsidP="002F5B4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4FF77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94C60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раз</w:t>
            </w:r>
          </w:p>
        </w:tc>
      </w:tr>
      <w:tr w:rsidR="002F5B4E" w14:paraId="3D4020CD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A3D751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88168A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59D5A" w14:textId="77777777" w:rsidR="002F5B4E" w:rsidRDefault="002F5B4E" w:rsidP="002F5B4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24AC7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BA044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раз</w:t>
            </w:r>
          </w:p>
        </w:tc>
      </w:tr>
      <w:tr w:rsidR="002F5B4E" w14:paraId="27558BBE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3738FB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91CD39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AEDF5" w14:textId="77777777" w:rsidR="002F5B4E" w:rsidRDefault="002F5B4E" w:rsidP="002F5B4E">
            <w:pPr>
              <w:pStyle w:val="ab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79936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D71DA" w14:textId="77777777" w:rsidR="002F5B4E" w:rsidRDefault="002F5B4E" w:rsidP="002F5B4E">
            <w:pPr>
              <w:pStyle w:val="ab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 раз</w:t>
            </w:r>
          </w:p>
        </w:tc>
      </w:tr>
      <w:tr w:rsidR="002F5B4E" w14:paraId="31B38E27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EBFCF" w14:textId="77777777" w:rsidR="002F5B4E" w:rsidRDefault="002F5B4E" w:rsidP="002F5B4E">
            <w:pPr>
              <w:pStyle w:val="ab"/>
              <w:spacing w:before="240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11C20" w14:textId="77777777" w:rsidR="002F5B4E" w:rsidRDefault="002F5B4E" w:rsidP="002F5B4E">
            <w:pPr>
              <w:pStyle w:val="ab"/>
              <w:spacing w:before="240"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фактов 0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0CCBF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B7C0D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2CF32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B4E" w14:paraId="1C38F1D5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61319A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B8CD11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FE323" w14:textId="77777777" w:rsidR="002F5B4E" w:rsidRDefault="002F5B4E" w:rsidP="002F5B4E">
            <w:pPr>
              <w:pStyle w:val="ab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98702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D5B00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раз</w:t>
            </w:r>
          </w:p>
        </w:tc>
      </w:tr>
      <w:tr w:rsidR="002F5B4E" w14:paraId="27FD87C7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A24242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D4BB90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C5821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DDB81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AC4D3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раз</w:t>
            </w:r>
          </w:p>
        </w:tc>
      </w:tr>
      <w:tr w:rsidR="002F5B4E" w14:paraId="1F7D74DE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4EAED1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955362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C86B5" w14:textId="77777777" w:rsidR="002F5B4E" w:rsidRDefault="002F5B4E" w:rsidP="002F5B4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898C2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91D7F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раз</w:t>
            </w:r>
          </w:p>
        </w:tc>
      </w:tr>
      <w:tr w:rsidR="002F5B4E" w14:paraId="6892AF0C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F9396C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1CB6BB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AFD40" w14:textId="77777777" w:rsidR="002F5B4E" w:rsidRDefault="002F5B4E" w:rsidP="002F5B4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24783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E161A" w14:textId="77777777" w:rsidR="002F5B4E" w:rsidRDefault="002F5B4E" w:rsidP="002F5B4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8 </w:t>
            </w:r>
            <w:proofErr w:type="gramStart"/>
            <w:r>
              <w:rPr>
                <w:sz w:val="20"/>
                <w:szCs w:val="20"/>
              </w:rPr>
              <w:t>раз Более</w:t>
            </w:r>
            <w:proofErr w:type="gramEnd"/>
            <w:r>
              <w:rPr>
                <w:sz w:val="20"/>
                <w:szCs w:val="20"/>
              </w:rPr>
              <w:t xml:space="preserve"> 8 раз</w:t>
            </w:r>
          </w:p>
        </w:tc>
      </w:tr>
      <w:tr w:rsidR="002F5B4E" w14:paraId="181B734F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525AC4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70F144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46BEF" w14:textId="77777777" w:rsidR="002F5B4E" w:rsidRDefault="002F5B4E" w:rsidP="002F5B4E">
            <w:pPr>
              <w:pStyle w:val="ab"/>
              <w:ind w:left="3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D8C70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16BA5" w14:textId="77777777" w:rsidR="002F5B4E" w:rsidRDefault="002F5B4E" w:rsidP="002F5B4E"/>
        </w:tc>
      </w:tr>
      <w:tr w:rsidR="002F5B4E" w14:paraId="333CFEDC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536C" w14:textId="77777777" w:rsidR="002F5B4E" w:rsidRDefault="002F5B4E" w:rsidP="002F5B4E">
            <w:pPr>
              <w:pStyle w:val="ab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3925" w14:textId="77777777" w:rsidR="002F5B4E" w:rsidRDefault="002F5B4E" w:rsidP="002F5B4E">
            <w:pPr>
              <w:pStyle w:val="ab"/>
              <w:spacing w:line="25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фактов 0 находящихся в производстве судов исках к объекту контроля 0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EAED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15F91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BEC82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B4E" w14:paraId="5FCA1D72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0A0A46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38FCCB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B7A9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0A5E8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9BB7A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раз</w:t>
            </w:r>
          </w:p>
        </w:tc>
      </w:tr>
      <w:tr w:rsidR="002F5B4E" w14:paraId="24181EBB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D88E5B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DA2121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5FAA8" w14:textId="77777777" w:rsidR="002F5B4E" w:rsidRDefault="002F5B4E" w:rsidP="002F5B4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DC8AF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8D09E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раз</w:t>
            </w:r>
          </w:p>
        </w:tc>
      </w:tr>
      <w:tr w:rsidR="002F5B4E" w14:paraId="07DAECA7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5FC3E6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EB31D6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AC12" w14:textId="77777777" w:rsidR="002F5B4E" w:rsidRDefault="002F5B4E" w:rsidP="002F5B4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CF367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26720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раз</w:t>
            </w:r>
          </w:p>
        </w:tc>
      </w:tr>
      <w:tr w:rsidR="002F5B4E" w14:paraId="703F4421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B574B8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4B9D91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C514" w14:textId="77777777" w:rsidR="002F5B4E" w:rsidRDefault="002F5B4E" w:rsidP="002F5B4E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D5E6B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BF3A8" w14:textId="77777777" w:rsidR="002F5B4E" w:rsidRDefault="002F5B4E" w:rsidP="002F5B4E">
            <w:pPr>
              <w:pStyle w:val="ab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раз</w:t>
            </w:r>
          </w:p>
        </w:tc>
      </w:tr>
      <w:tr w:rsidR="002F5B4E" w14:paraId="399B1EE4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5867F" w14:textId="77777777" w:rsidR="002F5B4E" w:rsidRDefault="002F5B4E" w:rsidP="002F5B4E"/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58E2E" w14:textId="77777777" w:rsidR="002F5B4E" w:rsidRDefault="002F5B4E" w:rsidP="002F5B4E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C3E98" w14:textId="77777777" w:rsidR="002F5B4E" w:rsidRDefault="002F5B4E" w:rsidP="002F5B4E">
            <w:pPr>
              <w:pStyle w:val="ab"/>
              <w:spacing w:line="252" w:lineRule="auto"/>
              <w:ind w:left="300" w:firstLin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A3CC9" w14:textId="77777777" w:rsidR="002F5B4E" w:rsidRDefault="002F5B4E" w:rsidP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AD6B2" w14:textId="77777777" w:rsidR="002F5B4E" w:rsidRDefault="002F5B4E" w:rsidP="002F5B4E">
            <w:pPr>
              <w:pStyle w:val="ab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 раз</w:t>
            </w:r>
          </w:p>
        </w:tc>
      </w:tr>
    </w:tbl>
    <w:p w14:paraId="33E46F9D" w14:textId="77777777" w:rsidR="0052442A" w:rsidRDefault="0052442A"/>
    <w:p w14:paraId="72EEE236" w14:textId="77777777" w:rsidR="002F5B4E" w:rsidRPr="002F5B4E" w:rsidRDefault="002F5B4E" w:rsidP="002F5B4E"/>
    <w:p w14:paraId="48AF5962" w14:textId="77777777" w:rsidR="002F5B4E" w:rsidRDefault="002F5B4E" w:rsidP="002F5B4E"/>
    <w:p w14:paraId="6EA73AE8" w14:textId="0133C2FF" w:rsidR="0052442A" w:rsidRDefault="002F5B4E" w:rsidP="002F5B4E">
      <w:pPr>
        <w:tabs>
          <w:tab w:val="left" w:pos="915"/>
        </w:tabs>
        <w:sectPr w:rsidR="005244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23" w:right="650" w:bottom="1210" w:left="1649" w:header="0" w:footer="3" w:gutter="0"/>
          <w:cols w:space="720"/>
          <w:noEndnote/>
          <w:docGrid w:linePitch="360"/>
          <w15:footnoteColumns w:val="1"/>
        </w:sectPr>
      </w:pPr>
      <w:r>
        <w:tab/>
      </w:r>
    </w:p>
    <w:p w14:paraId="208BB9F0" w14:textId="305FE8D4" w:rsidR="0052442A" w:rsidRDefault="002F5B4E">
      <w:pPr>
        <w:pStyle w:val="24"/>
        <w:spacing w:after="0" w:line="305" w:lineRule="auto"/>
      </w:pPr>
      <w:r>
        <w:lastRenderedPageBreak/>
        <w:t xml:space="preserve">Определение </w:t>
      </w:r>
      <w:r w:rsidR="0012717E">
        <w:t xml:space="preserve">формы и </w:t>
      </w:r>
      <w:r>
        <w:t>периодичности</w:t>
      </w:r>
      <w:r w:rsidR="0012717E">
        <w:t xml:space="preserve"> мероприятий по контролю члена Союза (в отношении</w:t>
      </w:r>
      <w:r w:rsidR="0012717E">
        <w:br/>
      </w:r>
      <w:r>
        <w:rPr>
          <w:b w:val="0"/>
          <w:bCs w:val="0"/>
        </w:rPr>
        <w:t>контроля</w:t>
      </w:r>
      <w:r w:rsidR="0012717E">
        <w:rPr>
          <w:b w:val="0"/>
          <w:bCs w:val="0"/>
        </w:rPr>
        <w:t xml:space="preserve"> </w:t>
      </w:r>
      <w:r w:rsidR="0012717E">
        <w:t xml:space="preserve">соблюдения </w:t>
      </w:r>
      <w:r>
        <w:rPr>
          <w:b w:val="0"/>
          <w:bCs w:val="0"/>
        </w:rPr>
        <w:t>членам Союза</w:t>
      </w:r>
      <w:r w:rsidR="0012717E">
        <w:rPr>
          <w:b w:val="0"/>
          <w:bCs w:val="0"/>
        </w:rPr>
        <w:t xml:space="preserve"> </w:t>
      </w:r>
      <w:r w:rsidR="0012717E">
        <w:t>требований законодательства Российской Федерации</w:t>
      </w:r>
      <w:r w:rsidR="0012717E">
        <w:br/>
      </w:r>
      <w:r w:rsidR="0012717E">
        <w:t xml:space="preserve">о градостроительной </w:t>
      </w:r>
      <w:r w:rsidR="0012717E">
        <w:rPr>
          <w:b w:val="0"/>
          <w:bCs w:val="0"/>
        </w:rPr>
        <w:t xml:space="preserve">деятельности, </w:t>
      </w:r>
      <w:r w:rsidR="0012717E">
        <w:t>о техническом регулировании, требований,</w:t>
      </w:r>
      <w:r w:rsidR="0012717E">
        <w:br/>
        <w:t xml:space="preserve">установленных в </w:t>
      </w:r>
      <w:r w:rsidR="0012717E">
        <w:rPr>
          <w:b w:val="0"/>
          <w:bCs w:val="0"/>
        </w:rPr>
        <w:t>ст</w:t>
      </w:r>
      <w:r>
        <w:rPr>
          <w:b w:val="0"/>
          <w:bCs w:val="0"/>
        </w:rPr>
        <w:t>андартах</w:t>
      </w:r>
      <w:r w:rsidR="0012717E">
        <w:rPr>
          <w:b w:val="0"/>
          <w:bCs w:val="0"/>
        </w:rPr>
        <w:t xml:space="preserve"> на </w:t>
      </w:r>
      <w:r w:rsidR="0012717E">
        <w:t>процессы выполнения работ по строительству,</w:t>
      </w:r>
      <w:r w:rsidR="0012717E">
        <w:br/>
        <w:t xml:space="preserve">реконструкции, </w:t>
      </w:r>
      <w:r>
        <w:rPr>
          <w:b w:val="0"/>
          <w:bCs w:val="0"/>
        </w:rPr>
        <w:t>капитальному</w:t>
      </w:r>
      <w:r w:rsidR="0012717E">
        <w:rPr>
          <w:b w:val="0"/>
          <w:bCs w:val="0"/>
        </w:rPr>
        <w:t xml:space="preserve"> </w:t>
      </w:r>
      <w:r w:rsidR="0012717E">
        <w:t>ремонту объектов капитального строительства,</w:t>
      </w:r>
    </w:p>
    <w:p w14:paraId="2B68F625" w14:textId="447E9257" w:rsidR="0052442A" w:rsidRDefault="002F5B4E">
      <w:pPr>
        <w:pStyle w:val="24"/>
        <w:spacing w:after="260" w:line="305" w:lineRule="auto"/>
      </w:pPr>
      <w:r>
        <w:t>у</w:t>
      </w:r>
      <w:r w:rsidR="0012717E">
        <w:t>твержденных НОПРИЗ</w:t>
      </w:r>
      <w:r>
        <w:t>, требований</w:t>
      </w:r>
      <w:r w:rsidR="0012717E">
        <w:rPr>
          <w:b w:val="0"/>
          <w:bCs w:val="0"/>
        </w:rPr>
        <w:t xml:space="preserve"> </w:t>
      </w:r>
      <w:r w:rsidR="0012717E">
        <w:t>стандартов Союза, в том числе квалификационных</w:t>
      </w:r>
      <w:r w:rsidR="0012717E">
        <w:br/>
        <w:t xml:space="preserve">стандартов, условий </w:t>
      </w:r>
      <w:r w:rsidR="0012717E">
        <w:rPr>
          <w:b w:val="0"/>
          <w:bCs w:val="0"/>
        </w:rPr>
        <w:t>член</w:t>
      </w:r>
      <w:r>
        <w:rPr>
          <w:b w:val="0"/>
          <w:bCs w:val="0"/>
        </w:rPr>
        <w:t>с</w:t>
      </w:r>
      <w:r w:rsidR="0012717E">
        <w:rPr>
          <w:b w:val="0"/>
          <w:bCs w:val="0"/>
        </w:rPr>
        <w:t xml:space="preserve">тва в </w:t>
      </w:r>
      <w:r w:rsidR="0012717E">
        <w:t>Союзе и иных внутренних документов Союза).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1969"/>
        <w:gridCol w:w="2693"/>
        <w:gridCol w:w="2671"/>
      </w:tblGrid>
      <w:tr w:rsidR="0052442A" w14:paraId="075CAF37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246" w:type="dxa"/>
            <w:shd w:val="clear" w:color="auto" w:fill="FFFFFF"/>
            <w:vAlign w:val="center"/>
          </w:tcPr>
          <w:p w14:paraId="74B7A7A1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риска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44A6C28D" w14:textId="0CA0B395" w:rsidR="0052442A" w:rsidRDefault="002F5B4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Значимость риска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4C8266D3" w14:textId="77777777" w:rsidR="0052442A" w:rsidRDefault="0012717E">
            <w:pPr>
              <w:pStyle w:val="ab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мероприятий по контролю за год</w:t>
            </w:r>
          </w:p>
        </w:tc>
        <w:tc>
          <w:tcPr>
            <w:tcW w:w="2671" w:type="dxa"/>
            <w:shd w:val="clear" w:color="auto" w:fill="FFFFFF"/>
          </w:tcPr>
          <w:p w14:paraId="41AF910E" w14:textId="77777777" w:rsidR="0052442A" w:rsidRDefault="0012717E">
            <w:pPr>
              <w:pStyle w:val="ab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мероприятий по контролю</w:t>
            </w:r>
          </w:p>
        </w:tc>
      </w:tr>
      <w:tr w:rsidR="0052442A" w14:paraId="45216054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2246" w:type="dxa"/>
            <w:shd w:val="clear" w:color="auto" w:fill="FFFFFF"/>
            <w:vAlign w:val="center"/>
          </w:tcPr>
          <w:p w14:paraId="09BA7E64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риск</w:t>
            </w:r>
          </w:p>
        </w:tc>
        <w:tc>
          <w:tcPr>
            <w:tcW w:w="1969" w:type="dxa"/>
            <w:shd w:val="clear" w:color="auto" w:fill="FFFFFF"/>
          </w:tcPr>
          <w:p w14:paraId="1BEE769C" w14:textId="77777777" w:rsidR="002F5B4E" w:rsidRDefault="002F5B4E" w:rsidP="002F5B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28F78A6" w14:textId="43688621" w:rsidR="0052442A" w:rsidRPr="002F5B4E" w:rsidRDefault="002F5B4E" w:rsidP="002F5B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5146C9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3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B96D97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 проверка</w:t>
            </w:r>
          </w:p>
        </w:tc>
      </w:tr>
      <w:tr w:rsidR="0052442A" w14:paraId="6A11C772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2246" w:type="dxa"/>
            <w:shd w:val="clear" w:color="auto" w:fill="FFFFFF"/>
            <w:vAlign w:val="center"/>
          </w:tcPr>
          <w:p w14:paraId="2C7955E7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45E13B29" w14:textId="1E73BD44" w:rsidR="0052442A" w:rsidRPr="002F5B4E" w:rsidRDefault="002F5B4E" w:rsidP="002F5B4E">
            <w:pPr>
              <w:pStyle w:val="ab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CA76F3B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года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6E631461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 проверка</w:t>
            </w:r>
          </w:p>
        </w:tc>
      </w:tr>
      <w:tr w:rsidR="0052442A" w14:paraId="5D301178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246" w:type="dxa"/>
            <w:shd w:val="clear" w:color="auto" w:fill="FFFFFF"/>
            <w:vAlign w:val="center"/>
          </w:tcPr>
          <w:p w14:paraId="471D4425" w14:textId="77777777" w:rsidR="0052442A" w:rsidRDefault="0012717E">
            <w:pPr>
              <w:pStyle w:val="ab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риск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48CC1037" w14:textId="393FD161" w:rsidR="0052442A" w:rsidRPr="002F5B4E" w:rsidRDefault="002F5B4E" w:rsidP="002F5B4E">
            <w:pPr>
              <w:pStyle w:val="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796E07A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22E81A2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 проверка</w:t>
            </w:r>
          </w:p>
        </w:tc>
      </w:tr>
      <w:tr w:rsidR="0052442A" w14:paraId="69DACD3E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2246" w:type="dxa"/>
            <w:shd w:val="clear" w:color="auto" w:fill="FFFFFF"/>
            <w:vAlign w:val="center"/>
          </w:tcPr>
          <w:p w14:paraId="181B1ED5" w14:textId="37C0E74F" w:rsidR="0052442A" w:rsidRDefault="0012717E">
            <w:pPr>
              <w:pStyle w:val="ab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Значительный </w:t>
            </w:r>
            <w:r w:rsidR="002F5B4E">
              <w:rPr>
                <w:sz w:val="20"/>
                <w:szCs w:val="20"/>
              </w:rPr>
              <w:t>риск</w:t>
            </w:r>
            <w:r w:rsidR="002F5B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shd w:val="clear" w:color="auto" w:fill="FFFFFF"/>
          </w:tcPr>
          <w:p w14:paraId="3F51E26F" w14:textId="77777777" w:rsidR="002F5B4E" w:rsidRDefault="002F5B4E" w:rsidP="002F5B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7A9CFB" w14:textId="37E09F73" w:rsidR="0052442A" w:rsidRPr="002F5B4E" w:rsidRDefault="002F5B4E" w:rsidP="002F5B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1E52D96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671" w:type="dxa"/>
            <w:shd w:val="clear" w:color="auto" w:fill="FFFFFF"/>
            <w:vAlign w:val="bottom"/>
          </w:tcPr>
          <w:p w14:paraId="0012BC9F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проверка с выездом по адресу места нахождения члена Союза</w:t>
            </w:r>
          </w:p>
        </w:tc>
      </w:tr>
      <w:tr w:rsidR="0052442A" w14:paraId="58D46CDD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246" w:type="dxa"/>
            <w:shd w:val="clear" w:color="auto" w:fill="FFFFFF"/>
            <w:vAlign w:val="center"/>
          </w:tcPr>
          <w:p w14:paraId="0A00A72F" w14:textId="24E9A973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  <w:r w:rsidR="002F5B4E">
              <w:rPr>
                <w:sz w:val="20"/>
                <w:szCs w:val="20"/>
              </w:rPr>
              <w:t>риск</w:t>
            </w:r>
          </w:p>
        </w:tc>
        <w:tc>
          <w:tcPr>
            <w:tcW w:w="1969" w:type="dxa"/>
            <w:shd w:val="clear" w:color="auto" w:fill="FFFFFF"/>
          </w:tcPr>
          <w:p w14:paraId="21B1AA57" w14:textId="77777777" w:rsidR="002F5B4E" w:rsidRDefault="002F5B4E" w:rsidP="002F5B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61A6727" w14:textId="5FFA5592" w:rsidR="0052442A" w:rsidRPr="002F5B4E" w:rsidRDefault="002F5B4E" w:rsidP="002F5B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DF41C08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раз в 6 месяцев</w:t>
            </w:r>
          </w:p>
        </w:tc>
        <w:tc>
          <w:tcPr>
            <w:tcW w:w="2671" w:type="dxa"/>
            <w:shd w:val="clear" w:color="auto" w:fill="FFFFFF"/>
            <w:vAlign w:val="bottom"/>
          </w:tcPr>
          <w:p w14:paraId="28E44915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проверка с выездом по адресу места нахождения члена Союза</w:t>
            </w:r>
          </w:p>
        </w:tc>
      </w:tr>
      <w:tr w:rsidR="0052442A" w14:paraId="17214471" w14:textId="77777777" w:rsidTr="002F5B4E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2246" w:type="dxa"/>
            <w:shd w:val="clear" w:color="auto" w:fill="FFFFFF"/>
            <w:vAlign w:val="center"/>
          </w:tcPr>
          <w:p w14:paraId="68614A00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7760DB88" w14:textId="77777777" w:rsidR="0052442A" w:rsidRPr="002F5B4E" w:rsidRDefault="0012717E" w:rsidP="002F5B4E">
            <w:pPr>
              <w:pStyle w:val="ab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5B4E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9D2E212" w14:textId="77777777" w:rsidR="0052442A" w:rsidRDefault="0012717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3 месяца</w:t>
            </w:r>
          </w:p>
        </w:tc>
        <w:tc>
          <w:tcPr>
            <w:tcW w:w="2671" w:type="dxa"/>
            <w:shd w:val="clear" w:color="auto" w:fill="FFFFFF"/>
          </w:tcPr>
          <w:p w14:paraId="0A37BB83" w14:textId="77777777" w:rsidR="0052442A" w:rsidRDefault="0012717E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проверка с выездом по адресу места нахождения члена Союза</w:t>
            </w:r>
          </w:p>
        </w:tc>
      </w:tr>
    </w:tbl>
    <w:p w14:paraId="724B7133" w14:textId="77777777" w:rsidR="0052442A" w:rsidRDefault="0052442A">
      <w:pPr>
        <w:sectPr w:rsidR="0052442A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2332" w:right="640" w:bottom="2332" w:left="1680" w:header="0" w:footer="3" w:gutter="0"/>
          <w:cols w:space="720"/>
          <w:noEndnote/>
          <w:docGrid w:linePitch="360"/>
          <w15:footnoteColumns w:val="1"/>
        </w:sectPr>
      </w:pPr>
    </w:p>
    <w:p w14:paraId="28A9AC2A" w14:textId="2A599757" w:rsidR="0052442A" w:rsidRDefault="002F5B4E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647222" wp14:editId="4A0FBE98">
            <wp:simplePos x="0" y="0"/>
            <wp:positionH relativeFrom="margin">
              <wp:align>right</wp:align>
            </wp:positionH>
            <wp:positionV relativeFrom="paragraph">
              <wp:posOffset>-140970</wp:posOffset>
            </wp:positionV>
            <wp:extent cx="2992120" cy="30410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5751D" w14:textId="01E27C2B" w:rsidR="002F5B4E" w:rsidRPr="002F5B4E" w:rsidRDefault="002F5B4E" w:rsidP="002F5B4E">
      <w:pPr>
        <w:rPr>
          <w:sz w:val="2"/>
          <w:szCs w:val="2"/>
        </w:rPr>
      </w:pPr>
    </w:p>
    <w:p w14:paraId="1692847F" w14:textId="0DF1B815" w:rsidR="002F5B4E" w:rsidRPr="002F5B4E" w:rsidRDefault="002F5B4E" w:rsidP="002F5B4E">
      <w:pPr>
        <w:rPr>
          <w:sz w:val="2"/>
          <w:szCs w:val="2"/>
        </w:rPr>
      </w:pPr>
    </w:p>
    <w:p w14:paraId="0D2FBD19" w14:textId="7B7615C9" w:rsidR="002F5B4E" w:rsidRPr="002F5B4E" w:rsidRDefault="002F5B4E" w:rsidP="002F5B4E">
      <w:pPr>
        <w:rPr>
          <w:sz w:val="2"/>
          <w:szCs w:val="2"/>
        </w:rPr>
      </w:pPr>
    </w:p>
    <w:p w14:paraId="7C2EB893" w14:textId="56D46754" w:rsidR="002F5B4E" w:rsidRPr="002F5B4E" w:rsidRDefault="002F5B4E" w:rsidP="002F5B4E">
      <w:pPr>
        <w:rPr>
          <w:sz w:val="2"/>
          <w:szCs w:val="2"/>
        </w:rPr>
      </w:pPr>
    </w:p>
    <w:p w14:paraId="71EF3DB9" w14:textId="573AB354" w:rsidR="002F5B4E" w:rsidRPr="002F5B4E" w:rsidRDefault="002F5B4E" w:rsidP="002F5B4E">
      <w:pPr>
        <w:rPr>
          <w:sz w:val="2"/>
          <w:szCs w:val="2"/>
        </w:rPr>
      </w:pPr>
    </w:p>
    <w:p w14:paraId="1AF316B1" w14:textId="7ABA44E3" w:rsidR="002F5B4E" w:rsidRPr="002F5B4E" w:rsidRDefault="002F5B4E" w:rsidP="002F5B4E">
      <w:pPr>
        <w:rPr>
          <w:sz w:val="2"/>
          <w:szCs w:val="2"/>
        </w:rPr>
      </w:pPr>
    </w:p>
    <w:p w14:paraId="56F1BF56" w14:textId="740EA59E" w:rsidR="002F5B4E" w:rsidRPr="002F5B4E" w:rsidRDefault="002F5B4E" w:rsidP="002F5B4E">
      <w:pPr>
        <w:rPr>
          <w:sz w:val="2"/>
          <w:szCs w:val="2"/>
        </w:rPr>
      </w:pPr>
    </w:p>
    <w:p w14:paraId="04049A69" w14:textId="3FA450FD" w:rsidR="002F5B4E" w:rsidRPr="002F5B4E" w:rsidRDefault="002F5B4E" w:rsidP="002F5B4E">
      <w:pPr>
        <w:rPr>
          <w:sz w:val="2"/>
          <w:szCs w:val="2"/>
        </w:rPr>
      </w:pPr>
    </w:p>
    <w:p w14:paraId="1DC3BF25" w14:textId="7988C1FC" w:rsidR="002F5B4E" w:rsidRPr="002F5B4E" w:rsidRDefault="002F5B4E" w:rsidP="002F5B4E">
      <w:pPr>
        <w:rPr>
          <w:sz w:val="2"/>
          <w:szCs w:val="2"/>
        </w:rPr>
      </w:pPr>
    </w:p>
    <w:p w14:paraId="0E86CEB2" w14:textId="64B436BD" w:rsidR="002F5B4E" w:rsidRPr="002F5B4E" w:rsidRDefault="002F5B4E" w:rsidP="002F5B4E">
      <w:pPr>
        <w:rPr>
          <w:sz w:val="2"/>
          <w:szCs w:val="2"/>
        </w:rPr>
      </w:pPr>
    </w:p>
    <w:p w14:paraId="70A4D3B6" w14:textId="7E5AF243" w:rsidR="002F5B4E" w:rsidRPr="002F5B4E" w:rsidRDefault="002F5B4E" w:rsidP="002F5B4E">
      <w:pPr>
        <w:rPr>
          <w:sz w:val="2"/>
          <w:szCs w:val="2"/>
        </w:rPr>
      </w:pPr>
    </w:p>
    <w:p w14:paraId="020CEC01" w14:textId="44C698FC" w:rsidR="002F5B4E" w:rsidRPr="002F5B4E" w:rsidRDefault="002F5B4E" w:rsidP="002F5B4E">
      <w:pPr>
        <w:rPr>
          <w:sz w:val="2"/>
          <w:szCs w:val="2"/>
        </w:rPr>
      </w:pPr>
    </w:p>
    <w:p w14:paraId="11E7E55A" w14:textId="08566419" w:rsidR="002F5B4E" w:rsidRPr="002F5B4E" w:rsidRDefault="002F5B4E" w:rsidP="002F5B4E">
      <w:pPr>
        <w:rPr>
          <w:sz w:val="2"/>
          <w:szCs w:val="2"/>
        </w:rPr>
      </w:pPr>
    </w:p>
    <w:p w14:paraId="754AC19C" w14:textId="4FF27628" w:rsidR="002F5B4E" w:rsidRPr="002F5B4E" w:rsidRDefault="002F5B4E" w:rsidP="002F5B4E">
      <w:pPr>
        <w:rPr>
          <w:sz w:val="2"/>
          <w:szCs w:val="2"/>
        </w:rPr>
      </w:pPr>
    </w:p>
    <w:p w14:paraId="23ABB95F" w14:textId="0DF32704" w:rsidR="002F5B4E" w:rsidRPr="002F5B4E" w:rsidRDefault="002F5B4E" w:rsidP="002F5B4E">
      <w:pPr>
        <w:rPr>
          <w:sz w:val="2"/>
          <w:szCs w:val="2"/>
        </w:rPr>
      </w:pPr>
    </w:p>
    <w:p w14:paraId="442C6C17" w14:textId="773B8B90" w:rsidR="002F5B4E" w:rsidRPr="002F5B4E" w:rsidRDefault="002F5B4E" w:rsidP="002F5B4E">
      <w:pPr>
        <w:rPr>
          <w:sz w:val="2"/>
          <w:szCs w:val="2"/>
        </w:rPr>
      </w:pPr>
    </w:p>
    <w:p w14:paraId="42661204" w14:textId="60CE0349" w:rsidR="002F5B4E" w:rsidRPr="002F5B4E" w:rsidRDefault="002F5B4E" w:rsidP="002F5B4E">
      <w:pPr>
        <w:rPr>
          <w:sz w:val="2"/>
          <w:szCs w:val="2"/>
        </w:rPr>
      </w:pPr>
    </w:p>
    <w:p w14:paraId="5A60ED92" w14:textId="5386E303" w:rsidR="002F5B4E" w:rsidRPr="002F5B4E" w:rsidRDefault="002F5B4E" w:rsidP="002F5B4E">
      <w:pPr>
        <w:rPr>
          <w:sz w:val="2"/>
          <w:szCs w:val="2"/>
        </w:rPr>
      </w:pPr>
    </w:p>
    <w:p w14:paraId="78BFD648" w14:textId="728C9372" w:rsidR="002F5B4E" w:rsidRPr="002F5B4E" w:rsidRDefault="002F5B4E" w:rsidP="002F5B4E">
      <w:pPr>
        <w:rPr>
          <w:sz w:val="2"/>
          <w:szCs w:val="2"/>
        </w:rPr>
      </w:pPr>
    </w:p>
    <w:p w14:paraId="16017008" w14:textId="5033A0DF" w:rsidR="002F5B4E" w:rsidRPr="002F5B4E" w:rsidRDefault="002F5B4E" w:rsidP="002F5B4E">
      <w:pPr>
        <w:rPr>
          <w:sz w:val="2"/>
          <w:szCs w:val="2"/>
        </w:rPr>
      </w:pPr>
    </w:p>
    <w:p w14:paraId="67AF6D2A" w14:textId="4FFBE283" w:rsidR="002F5B4E" w:rsidRPr="002F5B4E" w:rsidRDefault="002F5B4E" w:rsidP="002F5B4E">
      <w:pPr>
        <w:rPr>
          <w:sz w:val="2"/>
          <w:szCs w:val="2"/>
        </w:rPr>
      </w:pPr>
    </w:p>
    <w:p w14:paraId="0D2D97E8" w14:textId="29294A5E" w:rsidR="002F5B4E" w:rsidRPr="002F5B4E" w:rsidRDefault="002F5B4E" w:rsidP="002F5B4E">
      <w:pPr>
        <w:rPr>
          <w:sz w:val="2"/>
          <w:szCs w:val="2"/>
        </w:rPr>
      </w:pPr>
    </w:p>
    <w:p w14:paraId="3016BCA2" w14:textId="734F6D70" w:rsidR="002F5B4E" w:rsidRPr="002F5B4E" w:rsidRDefault="002F5B4E" w:rsidP="002F5B4E">
      <w:pPr>
        <w:rPr>
          <w:sz w:val="2"/>
          <w:szCs w:val="2"/>
        </w:rPr>
      </w:pPr>
    </w:p>
    <w:p w14:paraId="492652AE" w14:textId="5E3EB3C0" w:rsidR="002F5B4E" w:rsidRPr="002F5B4E" w:rsidRDefault="002F5B4E" w:rsidP="002F5B4E">
      <w:pPr>
        <w:rPr>
          <w:sz w:val="2"/>
          <w:szCs w:val="2"/>
        </w:rPr>
      </w:pPr>
    </w:p>
    <w:p w14:paraId="2682C516" w14:textId="01CFABE5" w:rsidR="002F5B4E" w:rsidRPr="002F5B4E" w:rsidRDefault="002F5B4E" w:rsidP="002F5B4E">
      <w:pPr>
        <w:rPr>
          <w:sz w:val="2"/>
          <w:szCs w:val="2"/>
        </w:rPr>
      </w:pPr>
    </w:p>
    <w:p w14:paraId="17022DEF" w14:textId="49A8F714" w:rsidR="002F5B4E" w:rsidRPr="002F5B4E" w:rsidRDefault="002F5B4E" w:rsidP="002F5B4E">
      <w:pPr>
        <w:rPr>
          <w:sz w:val="2"/>
          <w:szCs w:val="2"/>
        </w:rPr>
      </w:pPr>
    </w:p>
    <w:p w14:paraId="721B8F28" w14:textId="264FEA05" w:rsidR="002F5B4E" w:rsidRPr="002F5B4E" w:rsidRDefault="002F5B4E" w:rsidP="002F5B4E">
      <w:pPr>
        <w:rPr>
          <w:sz w:val="2"/>
          <w:szCs w:val="2"/>
        </w:rPr>
      </w:pPr>
    </w:p>
    <w:p w14:paraId="62D1784A" w14:textId="19008ABF" w:rsidR="002F5B4E" w:rsidRPr="002F5B4E" w:rsidRDefault="002F5B4E" w:rsidP="002F5B4E">
      <w:pPr>
        <w:rPr>
          <w:sz w:val="2"/>
          <w:szCs w:val="2"/>
        </w:rPr>
      </w:pPr>
    </w:p>
    <w:p w14:paraId="44D78F63" w14:textId="1CA4A62E" w:rsidR="002F5B4E" w:rsidRPr="002F5B4E" w:rsidRDefault="002F5B4E" w:rsidP="002F5B4E">
      <w:pPr>
        <w:rPr>
          <w:sz w:val="2"/>
          <w:szCs w:val="2"/>
        </w:rPr>
      </w:pPr>
    </w:p>
    <w:p w14:paraId="7387E4AF" w14:textId="3F5D13B2" w:rsidR="002F5B4E" w:rsidRPr="002F5B4E" w:rsidRDefault="002F5B4E" w:rsidP="002F5B4E">
      <w:pPr>
        <w:rPr>
          <w:sz w:val="2"/>
          <w:szCs w:val="2"/>
        </w:rPr>
      </w:pPr>
    </w:p>
    <w:p w14:paraId="70C972E5" w14:textId="7B49B638" w:rsidR="002F5B4E" w:rsidRPr="002F5B4E" w:rsidRDefault="002F5B4E" w:rsidP="002F5B4E">
      <w:pPr>
        <w:rPr>
          <w:sz w:val="2"/>
          <w:szCs w:val="2"/>
        </w:rPr>
      </w:pPr>
    </w:p>
    <w:p w14:paraId="55E08C70" w14:textId="24EE9DAC" w:rsidR="002F5B4E" w:rsidRPr="002F5B4E" w:rsidRDefault="002F5B4E" w:rsidP="002F5B4E">
      <w:pPr>
        <w:rPr>
          <w:sz w:val="2"/>
          <w:szCs w:val="2"/>
        </w:rPr>
      </w:pPr>
    </w:p>
    <w:p w14:paraId="0241E23D" w14:textId="3490ECFE" w:rsidR="002F5B4E" w:rsidRPr="002F5B4E" w:rsidRDefault="002F5B4E" w:rsidP="002F5B4E">
      <w:pPr>
        <w:rPr>
          <w:sz w:val="2"/>
          <w:szCs w:val="2"/>
        </w:rPr>
      </w:pPr>
    </w:p>
    <w:p w14:paraId="36E093E8" w14:textId="30B8531F" w:rsidR="002F5B4E" w:rsidRPr="002F5B4E" w:rsidRDefault="002F5B4E" w:rsidP="002F5B4E">
      <w:pPr>
        <w:rPr>
          <w:sz w:val="2"/>
          <w:szCs w:val="2"/>
        </w:rPr>
      </w:pPr>
    </w:p>
    <w:p w14:paraId="1E195783" w14:textId="4D3EFD54" w:rsidR="002F5B4E" w:rsidRPr="002F5B4E" w:rsidRDefault="002F5B4E" w:rsidP="002F5B4E">
      <w:pPr>
        <w:rPr>
          <w:sz w:val="2"/>
          <w:szCs w:val="2"/>
        </w:rPr>
      </w:pPr>
    </w:p>
    <w:p w14:paraId="048956F6" w14:textId="23D9CDDF" w:rsidR="002F5B4E" w:rsidRPr="002F5B4E" w:rsidRDefault="002F5B4E" w:rsidP="002F5B4E">
      <w:pPr>
        <w:rPr>
          <w:sz w:val="2"/>
          <w:szCs w:val="2"/>
        </w:rPr>
      </w:pPr>
    </w:p>
    <w:p w14:paraId="75BBA7D2" w14:textId="3B220BE4" w:rsidR="002F5B4E" w:rsidRPr="002F5B4E" w:rsidRDefault="002F5B4E" w:rsidP="002F5B4E">
      <w:pPr>
        <w:rPr>
          <w:sz w:val="2"/>
          <w:szCs w:val="2"/>
        </w:rPr>
      </w:pPr>
    </w:p>
    <w:p w14:paraId="242EF32F" w14:textId="3834253F" w:rsidR="002F5B4E" w:rsidRPr="002F5B4E" w:rsidRDefault="002F5B4E" w:rsidP="002F5B4E">
      <w:pPr>
        <w:rPr>
          <w:sz w:val="2"/>
          <w:szCs w:val="2"/>
        </w:rPr>
      </w:pPr>
    </w:p>
    <w:p w14:paraId="4385AD31" w14:textId="7A51F954" w:rsidR="002F5B4E" w:rsidRPr="002F5B4E" w:rsidRDefault="002F5B4E" w:rsidP="002F5B4E">
      <w:pPr>
        <w:rPr>
          <w:sz w:val="2"/>
          <w:szCs w:val="2"/>
        </w:rPr>
      </w:pPr>
    </w:p>
    <w:p w14:paraId="35D70520" w14:textId="14EC6EF9" w:rsidR="002F5B4E" w:rsidRPr="002F5B4E" w:rsidRDefault="002F5B4E" w:rsidP="002F5B4E">
      <w:pPr>
        <w:rPr>
          <w:sz w:val="2"/>
          <w:szCs w:val="2"/>
        </w:rPr>
      </w:pPr>
    </w:p>
    <w:p w14:paraId="4D6A11D6" w14:textId="793B0E3D" w:rsidR="002F5B4E" w:rsidRPr="002F5B4E" w:rsidRDefault="002F5B4E" w:rsidP="002F5B4E">
      <w:pPr>
        <w:rPr>
          <w:sz w:val="2"/>
          <w:szCs w:val="2"/>
        </w:rPr>
      </w:pPr>
    </w:p>
    <w:p w14:paraId="699E2FA5" w14:textId="7496C5F3" w:rsidR="002F5B4E" w:rsidRPr="002F5B4E" w:rsidRDefault="002F5B4E" w:rsidP="002F5B4E">
      <w:pPr>
        <w:rPr>
          <w:sz w:val="2"/>
          <w:szCs w:val="2"/>
        </w:rPr>
      </w:pPr>
    </w:p>
    <w:p w14:paraId="5734E287" w14:textId="22E33A93" w:rsidR="002F5B4E" w:rsidRPr="002F5B4E" w:rsidRDefault="002F5B4E" w:rsidP="002F5B4E">
      <w:pPr>
        <w:rPr>
          <w:sz w:val="2"/>
          <w:szCs w:val="2"/>
        </w:rPr>
      </w:pPr>
    </w:p>
    <w:p w14:paraId="024AD19A" w14:textId="0B57BD44" w:rsidR="002F5B4E" w:rsidRPr="002F5B4E" w:rsidRDefault="002F5B4E" w:rsidP="002F5B4E">
      <w:pPr>
        <w:rPr>
          <w:sz w:val="2"/>
          <w:szCs w:val="2"/>
        </w:rPr>
      </w:pPr>
    </w:p>
    <w:p w14:paraId="400495A6" w14:textId="0AEDD7C4" w:rsidR="002F5B4E" w:rsidRPr="002F5B4E" w:rsidRDefault="002F5B4E" w:rsidP="002F5B4E">
      <w:pPr>
        <w:rPr>
          <w:sz w:val="2"/>
          <w:szCs w:val="2"/>
        </w:rPr>
      </w:pPr>
    </w:p>
    <w:p w14:paraId="617B35EB" w14:textId="4ED06FA8" w:rsidR="002F5B4E" w:rsidRPr="002F5B4E" w:rsidRDefault="002F5B4E" w:rsidP="002F5B4E">
      <w:pPr>
        <w:rPr>
          <w:sz w:val="2"/>
          <w:szCs w:val="2"/>
        </w:rPr>
      </w:pPr>
    </w:p>
    <w:p w14:paraId="2D586077" w14:textId="3279864E" w:rsidR="002F5B4E" w:rsidRPr="002F5B4E" w:rsidRDefault="002F5B4E" w:rsidP="002F5B4E">
      <w:pPr>
        <w:rPr>
          <w:sz w:val="2"/>
          <w:szCs w:val="2"/>
        </w:rPr>
      </w:pPr>
    </w:p>
    <w:p w14:paraId="7B222657" w14:textId="6825C6CC" w:rsidR="002F5B4E" w:rsidRPr="002F5B4E" w:rsidRDefault="002F5B4E" w:rsidP="002F5B4E">
      <w:pPr>
        <w:rPr>
          <w:sz w:val="2"/>
          <w:szCs w:val="2"/>
        </w:rPr>
      </w:pPr>
    </w:p>
    <w:p w14:paraId="0C486F3B" w14:textId="51DFEC38" w:rsidR="002F5B4E" w:rsidRPr="002F5B4E" w:rsidRDefault="002F5B4E" w:rsidP="002F5B4E">
      <w:pPr>
        <w:rPr>
          <w:sz w:val="2"/>
          <w:szCs w:val="2"/>
        </w:rPr>
      </w:pPr>
    </w:p>
    <w:p w14:paraId="16760C9E" w14:textId="49CECEEE" w:rsidR="002F5B4E" w:rsidRPr="002F5B4E" w:rsidRDefault="002F5B4E" w:rsidP="002F5B4E">
      <w:pPr>
        <w:rPr>
          <w:sz w:val="2"/>
          <w:szCs w:val="2"/>
        </w:rPr>
      </w:pPr>
    </w:p>
    <w:p w14:paraId="1DE56FE2" w14:textId="0601E867" w:rsidR="002F5B4E" w:rsidRPr="002F5B4E" w:rsidRDefault="002F5B4E" w:rsidP="002F5B4E">
      <w:pPr>
        <w:rPr>
          <w:sz w:val="2"/>
          <w:szCs w:val="2"/>
        </w:rPr>
      </w:pPr>
    </w:p>
    <w:p w14:paraId="123D6CD8" w14:textId="59856180" w:rsidR="002F5B4E" w:rsidRPr="002F5B4E" w:rsidRDefault="002F5B4E" w:rsidP="002F5B4E">
      <w:pPr>
        <w:rPr>
          <w:sz w:val="2"/>
          <w:szCs w:val="2"/>
        </w:rPr>
      </w:pPr>
    </w:p>
    <w:p w14:paraId="6CFA4CD4" w14:textId="59625F58" w:rsidR="002F5B4E" w:rsidRPr="002F5B4E" w:rsidRDefault="002F5B4E" w:rsidP="002F5B4E">
      <w:pPr>
        <w:rPr>
          <w:sz w:val="2"/>
          <w:szCs w:val="2"/>
        </w:rPr>
      </w:pPr>
    </w:p>
    <w:p w14:paraId="2DF09666" w14:textId="01C6A252" w:rsidR="002F5B4E" w:rsidRPr="002F5B4E" w:rsidRDefault="002F5B4E" w:rsidP="002F5B4E">
      <w:pPr>
        <w:rPr>
          <w:sz w:val="2"/>
          <w:szCs w:val="2"/>
        </w:rPr>
      </w:pPr>
    </w:p>
    <w:p w14:paraId="3C4DE068" w14:textId="12A6CD9A" w:rsidR="002F5B4E" w:rsidRPr="002F5B4E" w:rsidRDefault="002F5B4E" w:rsidP="002F5B4E">
      <w:pPr>
        <w:rPr>
          <w:sz w:val="2"/>
          <w:szCs w:val="2"/>
        </w:rPr>
      </w:pPr>
    </w:p>
    <w:p w14:paraId="242A52EE" w14:textId="06BC40F7" w:rsidR="002F5B4E" w:rsidRPr="002F5B4E" w:rsidRDefault="002F5B4E" w:rsidP="002F5B4E">
      <w:pPr>
        <w:rPr>
          <w:sz w:val="2"/>
          <w:szCs w:val="2"/>
        </w:rPr>
      </w:pPr>
    </w:p>
    <w:p w14:paraId="7F1508A9" w14:textId="64FA3FCA" w:rsidR="002F5B4E" w:rsidRPr="002F5B4E" w:rsidRDefault="002F5B4E" w:rsidP="002F5B4E">
      <w:pPr>
        <w:rPr>
          <w:sz w:val="2"/>
          <w:szCs w:val="2"/>
        </w:rPr>
      </w:pPr>
    </w:p>
    <w:p w14:paraId="6F6E2715" w14:textId="6FDE56BF" w:rsidR="002F5B4E" w:rsidRPr="002F5B4E" w:rsidRDefault="002F5B4E" w:rsidP="002F5B4E">
      <w:pPr>
        <w:rPr>
          <w:sz w:val="2"/>
          <w:szCs w:val="2"/>
        </w:rPr>
      </w:pPr>
    </w:p>
    <w:p w14:paraId="3FB2E2FC" w14:textId="4CBAB24A" w:rsidR="002F5B4E" w:rsidRPr="002F5B4E" w:rsidRDefault="002F5B4E" w:rsidP="002F5B4E">
      <w:pPr>
        <w:rPr>
          <w:sz w:val="2"/>
          <w:szCs w:val="2"/>
        </w:rPr>
      </w:pPr>
    </w:p>
    <w:p w14:paraId="3156AB6F" w14:textId="64FB800A" w:rsidR="002F5B4E" w:rsidRPr="002F5B4E" w:rsidRDefault="002F5B4E" w:rsidP="002F5B4E">
      <w:pPr>
        <w:rPr>
          <w:sz w:val="2"/>
          <w:szCs w:val="2"/>
        </w:rPr>
      </w:pPr>
    </w:p>
    <w:p w14:paraId="1F6BDABF" w14:textId="07B3A66F" w:rsidR="002F5B4E" w:rsidRPr="002F5B4E" w:rsidRDefault="002F5B4E" w:rsidP="002F5B4E">
      <w:pPr>
        <w:rPr>
          <w:sz w:val="2"/>
          <w:szCs w:val="2"/>
        </w:rPr>
      </w:pPr>
    </w:p>
    <w:p w14:paraId="1204AA06" w14:textId="57FB5669" w:rsidR="002F5B4E" w:rsidRPr="002F5B4E" w:rsidRDefault="002F5B4E" w:rsidP="002F5B4E">
      <w:pPr>
        <w:rPr>
          <w:sz w:val="2"/>
          <w:szCs w:val="2"/>
        </w:rPr>
      </w:pPr>
    </w:p>
    <w:p w14:paraId="602ED6C1" w14:textId="7FF1976E" w:rsidR="002F5B4E" w:rsidRPr="002F5B4E" w:rsidRDefault="002F5B4E" w:rsidP="002F5B4E">
      <w:pPr>
        <w:rPr>
          <w:sz w:val="2"/>
          <w:szCs w:val="2"/>
        </w:rPr>
      </w:pPr>
    </w:p>
    <w:p w14:paraId="724B57AF" w14:textId="4F6FD72C" w:rsidR="002F5B4E" w:rsidRPr="002F5B4E" w:rsidRDefault="002F5B4E" w:rsidP="002F5B4E">
      <w:pPr>
        <w:rPr>
          <w:sz w:val="2"/>
          <w:szCs w:val="2"/>
        </w:rPr>
      </w:pPr>
    </w:p>
    <w:p w14:paraId="109EA3E8" w14:textId="3102A47E" w:rsidR="002F5B4E" w:rsidRPr="002F5B4E" w:rsidRDefault="002F5B4E" w:rsidP="002F5B4E">
      <w:pPr>
        <w:rPr>
          <w:sz w:val="2"/>
          <w:szCs w:val="2"/>
        </w:rPr>
      </w:pPr>
    </w:p>
    <w:p w14:paraId="4D6D4BDE" w14:textId="7504522C" w:rsidR="002F5B4E" w:rsidRPr="002F5B4E" w:rsidRDefault="002F5B4E" w:rsidP="002F5B4E">
      <w:pPr>
        <w:rPr>
          <w:sz w:val="2"/>
          <w:szCs w:val="2"/>
        </w:rPr>
      </w:pPr>
    </w:p>
    <w:p w14:paraId="41D1499C" w14:textId="1501C79B" w:rsidR="002F5B4E" w:rsidRPr="002F5B4E" w:rsidRDefault="002F5B4E" w:rsidP="002F5B4E">
      <w:pPr>
        <w:rPr>
          <w:sz w:val="2"/>
          <w:szCs w:val="2"/>
        </w:rPr>
      </w:pPr>
    </w:p>
    <w:p w14:paraId="0053484C" w14:textId="16094DEC" w:rsidR="002F5B4E" w:rsidRPr="002F5B4E" w:rsidRDefault="002F5B4E" w:rsidP="002F5B4E">
      <w:pPr>
        <w:rPr>
          <w:sz w:val="2"/>
          <w:szCs w:val="2"/>
        </w:rPr>
      </w:pPr>
    </w:p>
    <w:p w14:paraId="7DFF270E" w14:textId="408A47DE" w:rsidR="002F5B4E" w:rsidRPr="002F5B4E" w:rsidRDefault="002F5B4E" w:rsidP="002F5B4E">
      <w:pPr>
        <w:rPr>
          <w:sz w:val="2"/>
          <w:szCs w:val="2"/>
        </w:rPr>
      </w:pPr>
    </w:p>
    <w:p w14:paraId="13F3DE67" w14:textId="0DA7C53A" w:rsidR="002F5B4E" w:rsidRPr="002F5B4E" w:rsidRDefault="002F5B4E" w:rsidP="002F5B4E">
      <w:pPr>
        <w:rPr>
          <w:sz w:val="2"/>
          <w:szCs w:val="2"/>
        </w:rPr>
      </w:pPr>
    </w:p>
    <w:p w14:paraId="7845F132" w14:textId="2E431509" w:rsidR="002F5B4E" w:rsidRPr="002F5B4E" w:rsidRDefault="002F5B4E" w:rsidP="002F5B4E">
      <w:pPr>
        <w:rPr>
          <w:sz w:val="2"/>
          <w:szCs w:val="2"/>
        </w:rPr>
      </w:pPr>
    </w:p>
    <w:p w14:paraId="5E8AB623" w14:textId="0A7A3B94" w:rsidR="002F5B4E" w:rsidRPr="002F5B4E" w:rsidRDefault="002F5B4E" w:rsidP="002F5B4E">
      <w:pPr>
        <w:rPr>
          <w:sz w:val="2"/>
          <w:szCs w:val="2"/>
        </w:rPr>
      </w:pPr>
    </w:p>
    <w:p w14:paraId="0E4C4E99" w14:textId="206FEF0B" w:rsidR="002F5B4E" w:rsidRPr="002F5B4E" w:rsidRDefault="002F5B4E" w:rsidP="002F5B4E">
      <w:pPr>
        <w:rPr>
          <w:sz w:val="2"/>
          <w:szCs w:val="2"/>
        </w:rPr>
      </w:pPr>
    </w:p>
    <w:p w14:paraId="013239F7" w14:textId="7EE65859" w:rsidR="002F5B4E" w:rsidRPr="002F5B4E" w:rsidRDefault="002F5B4E" w:rsidP="002F5B4E">
      <w:pPr>
        <w:rPr>
          <w:sz w:val="2"/>
          <w:szCs w:val="2"/>
        </w:rPr>
      </w:pPr>
    </w:p>
    <w:p w14:paraId="65D84132" w14:textId="344A1214" w:rsidR="002F5B4E" w:rsidRPr="002F5B4E" w:rsidRDefault="002F5B4E" w:rsidP="002F5B4E">
      <w:pPr>
        <w:rPr>
          <w:sz w:val="2"/>
          <w:szCs w:val="2"/>
        </w:rPr>
      </w:pPr>
    </w:p>
    <w:p w14:paraId="18A446DC" w14:textId="713F253C" w:rsidR="002F5B4E" w:rsidRPr="002F5B4E" w:rsidRDefault="002F5B4E" w:rsidP="002F5B4E">
      <w:pPr>
        <w:rPr>
          <w:sz w:val="2"/>
          <w:szCs w:val="2"/>
        </w:rPr>
      </w:pPr>
    </w:p>
    <w:p w14:paraId="1E845B4C" w14:textId="56AF26AF" w:rsidR="002F5B4E" w:rsidRPr="002F5B4E" w:rsidRDefault="002F5B4E" w:rsidP="002F5B4E">
      <w:pPr>
        <w:rPr>
          <w:sz w:val="2"/>
          <w:szCs w:val="2"/>
        </w:rPr>
      </w:pPr>
    </w:p>
    <w:p w14:paraId="186BEAA2" w14:textId="7F150145" w:rsidR="002F5B4E" w:rsidRPr="002F5B4E" w:rsidRDefault="002F5B4E" w:rsidP="002F5B4E">
      <w:pPr>
        <w:rPr>
          <w:sz w:val="2"/>
          <w:szCs w:val="2"/>
        </w:rPr>
      </w:pPr>
    </w:p>
    <w:p w14:paraId="63DEABA6" w14:textId="4EBDEF9A" w:rsidR="002F5B4E" w:rsidRPr="002F5B4E" w:rsidRDefault="002F5B4E" w:rsidP="002F5B4E">
      <w:pPr>
        <w:tabs>
          <w:tab w:val="left" w:pos="14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9A0769F" w14:textId="1BF3A1C8" w:rsidR="002F5B4E" w:rsidRPr="002F5B4E" w:rsidRDefault="002F5B4E" w:rsidP="002F5B4E">
      <w:pPr>
        <w:rPr>
          <w:sz w:val="2"/>
          <w:szCs w:val="2"/>
        </w:rPr>
      </w:pPr>
    </w:p>
    <w:p w14:paraId="6C923E69" w14:textId="41712A4C" w:rsidR="002F5B4E" w:rsidRPr="002F5B4E" w:rsidRDefault="002F5B4E" w:rsidP="002F5B4E">
      <w:pPr>
        <w:rPr>
          <w:sz w:val="2"/>
          <w:szCs w:val="2"/>
        </w:rPr>
      </w:pPr>
    </w:p>
    <w:p w14:paraId="2D706BAB" w14:textId="4CDF5297" w:rsidR="002F5B4E" w:rsidRPr="002F5B4E" w:rsidRDefault="002F5B4E" w:rsidP="002F5B4E">
      <w:pPr>
        <w:rPr>
          <w:sz w:val="2"/>
          <w:szCs w:val="2"/>
        </w:rPr>
      </w:pPr>
    </w:p>
    <w:p w14:paraId="2E705208" w14:textId="2607DB51" w:rsidR="002F5B4E" w:rsidRPr="002F5B4E" w:rsidRDefault="002F5B4E" w:rsidP="002F5B4E">
      <w:pPr>
        <w:rPr>
          <w:sz w:val="2"/>
          <w:szCs w:val="2"/>
        </w:rPr>
      </w:pPr>
    </w:p>
    <w:p w14:paraId="1675872C" w14:textId="35CF672C" w:rsidR="002F5B4E" w:rsidRPr="002F5B4E" w:rsidRDefault="002F5B4E" w:rsidP="002F5B4E">
      <w:pPr>
        <w:rPr>
          <w:sz w:val="2"/>
          <w:szCs w:val="2"/>
        </w:rPr>
      </w:pPr>
    </w:p>
    <w:p w14:paraId="70B5C1B2" w14:textId="07D4CB25" w:rsidR="002F5B4E" w:rsidRPr="002F5B4E" w:rsidRDefault="002F5B4E" w:rsidP="002F5B4E">
      <w:pPr>
        <w:rPr>
          <w:sz w:val="2"/>
          <w:szCs w:val="2"/>
        </w:rPr>
      </w:pPr>
    </w:p>
    <w:p w14:paraId="0981F920" w14:textId="5A3EFA52" w:rsidR="002F5B4E" w:rsidRPr="002F5B4E" w:rsidRDefault="002F5B4E" w:rsidP="002F5B4E">
      <w:pPr>
        <w:rPr>
          <w:sz w:val="2"/>
          <w:szCs w:val="2"/>
        </w:rPr>
      </w:pPr>
    </w:p>
    <w:p w14:paraId="3D15F062" w14:textId="0DB3BC37" w:rsidR="002F5B4E" w:rsidRPr="002F5B4E" w:rsidRDefault="002F5B4E" w:rsidP="002F5B4E">
      <w:pPr>
        <w:rPr>
          <w:sz w:val="2"/>
          <w:szCs w:val="2"/>
        </w:rPr>
      </w:pPr>
    </w:p>
    <w:p w14:paraId="434850F0" w14:textId="4855E18D" w:rsidR="002F5B4E" w:rsidRPr="002F5B4E" w:rsidRDefault="002F5B4E" w:rsidP="002F5B4E">
      <w:pPr>
        <w:rPr>
          <w:sz w:val="2"/>
          <w:szCs w:val="2"/>
        </w:rPr>
      </w:pPr>
    </w:p>
    <w:p w14:paraId="21BABA50" w14:textId="138A4B9C" w:rsidR="002F5B4E" w:rsidRPr="002F5B4E" w:rsidRDefault="002F5B4E" w:rsidP="002F5B4E">
      <w:pPr>
        <w:rPr>
          <w:sz w:val="2"/>
          <w:szCs w:val="2"/>
        </w:rPr>
      </w:pPr>
    </w:p>
    <w:p w14:paraId="3B834A28" w14:textId="36C0B9FF" w:rsidR="002F5B4E" w:rsidRPr="002F5B4E" w:rsidRDefault="002F5B4E" w:rsidP="002F5B4E">
      <w:pPr>
        <w:rPr>
          <w:sz w:val="2"/>
          <w:szCs w:val="2"/>
        </w:rPr>
      </w:pPr>
    </w:p>
    <w:p w14:paraId="1AAC40D5" w14:textId="5D3FF302" w:rsidR="002F5B4E" w:rsidRPr="002F5B4E" w:rsidRDefault="002F5B4E" w:rsidP="002F5B4E">
      <w:pPr>
        <w:rPr>
          <w:sz w:val="2"/>
          <w:szCs w:val="2"/>
        </w:rPr>
      </w:pPr>
    </w:p>
    <w:p w14:paraId="795A8670" w14:textId="20E47A6A" w:rsidR="002F5B4E" w:rsidRPr="002F5B4E" w:rsidRDefault="002F5B4E" w:rsidP="002F5B4E">
      <w:pPr>
        <w:rPr>
          <w:sz w:val="2"/>
          <w:szCs w:val="2"/>
        </w:rPr>
      </w:pPr>
    </w:p>
    <w:p w14:paraId="7838F492" w14:textId="3C0B6A7E" w:rsidR="002F5B4E" w:rsidRPr="002F5B4E" w:rsidRDefault="002F5B4E" w:rsidP="002F5B4E">
      <w:pPr>
        <w:rPr>
          <w:sz w:val="2"/>
          <w:szCs w:val="2"/>
        </w:rPr>
      </w:pPr>
    </w:p>
    <w:p w14:paraId="1D013B84" w14:textId="53550554" w:rsidR="002F5B4E" w:rsidRPr="002F5B4E" w:rsidRDefault="002F5B4E" w:rsidP="002F5B4E">
      <w:pPr>
        <w:rPr>
          <w:sz w:val="2"/>
          <w:szCs w:val="2"/>
        </w:rPr>
      </w:pPr>
    </w:p>
    <w:p w14:paraId="7FBA4134" w14:textId="276451FE" w:rsidR="002F5B4E" w:rsidRPr="002F5B4E" w:rsidRDefault="002F5B4E" w:rsidP="002F5B4E">
      <w:pPr>
        <w:rPr>
          <w:sz w:val="2"/>
          <w:szCs w:val="2"/>
        </w:rPr>
      </w:pPr>
    </w:p>
    <w:p w14:paraId="4EAA388B" w14:textId="7347F9F8" w:rsidR="002F5B4E" w:rsidRPr="002F5B4E" w:rsidRDefault="002F5B4E" w:rsidP="002F5B4E">
      <w:pPr>
        <w:rPr>
          <w:sz w:val="2"/>
          <w:szCs w:val="2"/>
        </w:rPr>
      </w:pPr>
    </w:p>
    <w:p w14:paraId="2B4D9841" w14:textId="5AD6C483" w:rsidR="002F5B4E" w:rsidRPr="002F5B4E" w:rsidRDefault="002F5B4E" w:rsidP="002F5B4E">
      <w:pPr>
        <w:rPr>
          <w:sz w:val="2"/>
          <w:szCs w:val="2"/>
        </w:rPr>
      </w:pPr>
    </w:p>
    <w:p w14:paraId="7C3DB9B1" w14:textId="6709AEEA" w:rsidR="002F5B4E" w:rsidRPr="002F5B4E" w:rsidRDefault="002F5B4E" w:rsidP="002F5B4E">
      <w:pPr>
        <w:rPr>
          <w:sz w:val="2"/>
          <w:szCs w:val="2"/>
        </w:rPr>
      </w:pPr>
    </w:p>
    <w:p w14:paraId="79882B55" w14:textId="77F36465" w:rsidR="002F5B4E" w:rsidRPr="002F5B4E" w:rsidRDefault="002F5B4E" w:rsidP="002F5B4E">
      <w:pPr>
        <w:rPr>
          <w:sz w:val="2"/>
          <w:szCs w:val="2"/>
        </w:rPr>
      </w:pPr>
    </w:p>
    <w:p w14:paraId="4F5F7518" w14:textId="1C1C040B" w:rsidR="002F5B4E" w:rsidRPr="002F5B4E" w:rsidRDefault="002F5B4E" w:rsidP="002F5B4E">
      <w:pPr>
        <w:rPr>
          <w:sz w:val="2"/>
          <w:szCs w:val="2"/>
        </w:rPr>
      </w:pPr>
    </w:p>
    <w:p w14:paraId="79D3EA2B" w14:textId="51CB5B19" w:rsidR="002F5B4E" w:rsidRPr="002F5B4E" w:rsidRDefault="002F5B4E" w:rsidP="002F5B4E">
      <w:pPr>
        <w:rPr>
          <w:sz w:val="2"/>
          <w:szCs w:val="2"/>
        </w:rPr>
      </w:pPr>
    </w:p>
    <w:p w14:paraId="0172A215" w14:textId="25C0A47F" w:rsidR="002F5B4E" w:rsidRPr="002F5B4E" w:rsidRDefault="002F5B4E" w:rsidP="002F5B4E">
      <w:pPr>
        <w:rPr>
          <w:sz w:val="2"/>
          <w:szCs w:val="2"/>
        </w:rPr>
      </w:pPr>
    </w:p>
    <w:p w14:paraId="6A735DB3" w14:textId="66DE7EE5" w:rsidR="002F5B4E" w:rsidRPr="002F5B4E" w:rsidRDefault="002F5B4E" w:rsidP="002F5B4E">
      <w:pPr>
        <w:rPr>
          <w:sz w:val="2"/>
          <w:szCs w:val="2"/>
        </w:rPr>
      </w:pPr>
    </w:p>
    <w:p w14:paraId="00B6F7B4" w14:textId="06496612" w:rsidR="002F5B4E" w:rsidRPr="002F5B4E" w:rsidRDefault="002F5B4E" w:rsidP="002F5B4E">
      <w:pPr>
        <w:rPr>
          <w:sz w:val="2"/>
          <w:szCs w:val="2"/>
        </w:rPr>
      </w:pPr>
    </w:p>
    <w:p w14:paraId="48DD846D" w14:textId="752E1E4C" w:rsidR="002F5B4E" w:rsidRPr="002F5B4E" w:rsidRDefault="002F5B4E" w:rsidP="002F5B4E">
      <w:pPr>
        <w:rPr>
          <w:sz w:val="2"/>
          <w:szCs w:val="2"/>
        </w:rPr>
      </w:pPr>
    </w:p>
    <w:p w14:paraId="054D3C41" w14:textId="7F0D39CA" w:rsidR="002F5B4E" w:rsidRPr="002F5B4E" w:rsidRDefault="002F5B4E" w:rsidP="002F5B4E">
      <w:pPr>
        <w:rPr>
          <w:sz w:val="2"/>
          <w:szCs w:val="2"/>
        </w:rPr>
      </w:pPr>
    </w:p>
    <w:p w14:paraId="396EF2B8" w14:textId="70624BE4" w:rsidR="002F5B4E" w:rsidRPr="002F5B4E" w:rsidRDefault="002F5B4E" w:rsidP="002F5B4E">
      <w:pPr>
        <w:rPr>
          <w:sz w:val="2"/>
          <w:szCs w:val="2"/>
        </w:rPr>
      </w:pPr>
    </w:p>
    <w:p w14:paraId="06065BDF" w14:textId="3CFF3F2C" w:rsidR="002F5B4E" w:rsidRPr="002F5B4E" w:rsidRDefault="002F5B4E" w:rsidP="002F5B4E">
      <w:pPr>
        <w:rPr>
          <w:sz w:val="2"/>
          <w:szCs w:val="2"/>
        </w:rPr>
      </w:pPr>
    </w:p>
    <w:p w14:paraId="27274790" w14:textId="28F12B37" w:rsidR="002F5B4E" w:rsidRPr="002F5B4E" w:rsidRDefault="002F5B4E" w:rsidP="002F5B4E">
      <w:pPr>
        <w:rPr>
          <w:sz w:val="2"/>
          <w:szCs w:val="2"/>
        </w:rPr>
      </w:pPr>
    </w:p>
    <w:p w14:paraId="4713B6E5" w14:textId="5A5C47D5" w:rsidR="002F5B4E" w:rsidRPr="002F5B4E" w:rsidRDefault="002F5B4E" w:rsidP="002F5B4E">
      <w:pPr>
        <w:rPr>
          <w:sz w:val="2"/>
          <w:szCs w:val="2"/>
        </w:rPr>
      </w:pPr>
    </w:p>
    <w:p w14:paraId="213C8BA6" w14:textId="2AC62DE8" w:rsidR="002F5B4E" w:rsidRPr="002F5B4E" w:rsidRDefault="002F5B4E" w:rsidP="002F5B4E">
      <w:pPr>
        <w:rPr>
          <w:sz w:val="2"/>
          <w:szCs w:val="2"/>
        </w:rPr>
      </w:pPr>
    </w:p>
    <w:p w14:paraId="0FDBE584" w14:textId="0200B054" w:rsidR="002F5B4E" w:rsidRPr="002F5B4E" w:rsidRDefault="002F5B4E" w:rsidP="002F5B4E">
      <w:pPr>
        <w:rPr>
          <w:sz w:val="2"/>
          <w:szCs w:val="2"/>
        </w:rPr>
      </w:pPr>
    </w:p>
    <w:p w14:paraId="6F7942E8" w14:textId="1A08A78F" w:rsidR="002F5B4E" w:rsidRPr="002F5B4E" w:rsidRDefault="002F5B4E" w:rsidP="002F5B4E">
      <w:pPr>
        <w:rPr>
          <w:sz w:val="2"/>
          <w:szCs w:val="2"/>
        </w:rPr>
      </w:pPr>
    </w:p>
    <w:p w14:paraId="5910EB4B" w14:textId="791F8DFC" w:rsidR="002F5B4E" w:rsidRPr="002F5B4E" w:rsidRDefault="002F5B4E" w:rsidP="002F5B4E">
      <w:pPr>
        <w:rPr>
          <w:sz w:val="2"/>
          <w:szCs w:val="2"/>
        </w:rPr>
      </w:pPr>
    </w:p>
    <w:p w14:paraId="4A96F269" w14:textId="1BDE7559" w:rsidR="002F5B4E" w:rsidRPr="002F5B4E" w:rsidRDefault="002F5B4E" w:rsidP="002F5B4E">
      <w:pPr>
        <w:rPr>
          <w:sz w:val="2"/>
          <w:szCs w:val="2"/>
        </w:rPr>
      </w:pPr>
    </w:p>
    <w:p w14:paraId="40488A95" w14:textId="39F95942" w:rsidR="002F5B4E" w:rsidRPr="002F5B4E" w:rsidRDefault="002F5B4E" w:rsidP="002F5B4E">
      <w:pPr>
        <w:rPr>
          <w:sz w:val="2"/>
          <w:szCs w:val="2"/>
        </w:rPr>
      </w:pPr>
    </w:p>
    <w:p w14:paraId="2DE21EBB" w14:textId="56C1B909" w:rsidR="002F5B4E" w:rsidRPr="002F5B4E" w:rsidRDefault="002F5B4E" w:rsidP="002F5B4E">
      <w:pPr>
        <w:rPr>
          <w:sz w:val="2"/>
          <w:szCs w:val="2"/>
        </w:rPr>
      </w:pPr>
    </w:p>
    <w:p w14:paraId="60E46496" w14:textId="34F3B1EC" w:rsidR="002F5B4E" w:rsidRPr="002F5B4E" w:rsidRDefault="002F5B4E" w:rsidP="002F5B4E">
      <w:pPr>
        <w:rPr>
          <w:sz w:val="2"/>
          <w:szCs w:val="2"/>
        </w:rPr>
      </w:pPr>
    </w:p>
    <w:p w14:paraId="03FD8600" w14:textId="77777777" w:rsidR="002F5B4E" w:rsidRPr="002F5B4E" w:rsidRDefault="002F5B4E" w:rsidP="002F5B4E">
      <w:pPr>
        <w:rPr>
          <w:sz w:val="2"/>
          <w:szCs w:val="2"/>
        </w:rPr>
      </w:pPr>
    </w:p>
    <w:sectPr w:rsidR="002F5B4E" w:rsidRPr="002F5B4E">
      <w:headerReference w:type="even" r:id="rId22"/>
      <w:headerReference w:type="default" r:id="rId23"/>
      <w:footerReference w:type="even" r:id="rId24"/>
      <w:footerReference w:type="default" r:id="rId25"/>
      <w:pgSz w:w="16840" w:h="11900" w:orient="landscape"/>
      <w:pgMar w:top="222" w:right="5465" w:bottom="222" w:left="6663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F9D2" w14:textId="77777777" w:rsidR="0012717E" w:rsidRDefault="0012717E">
      <w:r>
        <w:separator/>
      </w:r>
    </w:p>
  </w:endnote>
  <w:endnote w:type="continuationSeparator" w:id="0">
    <w:p w14:paraId="46A1927D" w14:textId="77777777" w:rsidR="0012717E" w:rsidRDefault="001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B302" w14:textId="77777777" w:rsidR="0052442A" w:rsidRDefault="001271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196DCFC" wp14:editId="73A8ACF9">
              <wp:simplePos x="0" y="0"/>
              <wp:positionH relativeFrom="page">
                <wp:posOffset>6931025</wp:posOffset>
              </wp:positionH>
              <wp:positionV relativeFrom="page">
                <wp:posOffset>9986010</wp:posOffset>
              </wp:positionV>
              <wp:extent cx="12128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46D952" w14:textId="77777777" w:rsidR="0052442A" w:rsidRDefault="0012717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6DCF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5.75pt;margin-top:786.3pt;width:9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" filled="f" stroked="f">
              <v:textbox style="mso-fit-shape-to-text:t" inset="0,0,0,0">
                <w:txbxContent>
                  <w:p w14:paraId="4C46D952" w14:textId="77777777" w:rsidR="0052442A" w:rsidRDefault="0012717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E05B" w14:textId="77777777" w:rsidR="0052442A" w:rsidRDefault="0052442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8620" w14:textId="77777777" w:rsidR="0052442A" w:rsidRDefault="001271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00CF35" wp14:editId="1F19FCBF">
              <wp:simplePos x="0" y="0"/>
              <wp:positionH relativeFrom="page">
                <wp:posOffset>6931025</wp:posOffset>
              </wp:positionH>
              <wp:positionV relativeFrom="page">
                <wp:posOffset>9986010</wp:posOffset>
              </wp:positionV>
              <wp:extent cx="12128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AFAC6C" w14:textId="77777777" w:rsidR="0052442A" w:rsidRDefault="0012717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0CF35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5.75pt;margin-top:786.3pt;width:9.5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" filled="f" stroked="f">
              <v:textbox style="mso-fit-shape-to-text:t" inset="0,0,0,0">
                <w:txbxContent>
                  <w:p w14:paraId="23AFAC6C" w14:textId="77777777" w:rsidR="0052442A" w:rsidRDefault="0012717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A264" w14:textId="77777777" w:rsidR="0052442A" w:rsidRDefault="0052442A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A311" w14:textId="77777777" w:rsidR="0052442A" w:rsidRDefault="001271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29C4E6C" wp14:editId="117943A7">
              <wp:simplePos x="0" y="0"/>
              <wp:positionH relativeFrom="page">
                <wp:posOffset>6931025</wp:posOffset>
              </wp:positionH>
              <wp:positionV relativeFrom="page">
                <wp:posOffset>9986010</wp:posOffset>
              </wp:positionV>
              <wp:extent cx="121285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107E0" w14:textId="77777777" w:rsidR="0052442A" w:rsidRDefault="0012717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C4E6C"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545.75pt;margin-top:786.3pt;width:9.55pt;height:7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" filled="f" stroked="f">
              <v:textbox style="mso-fit-shape-to-text:t" inset="0,0,0,0">
                <w:txbxContent>
                  <w:p w14:paraId="2B0107E0" w14:textId="77777777" w:rsidR="0052442A" w:rsidRDefault="0012717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50D6" w14:textId="77777777" w:rsidR="0052442A" w:rsidRDefault="001271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4251CE8" wp14:editId="4ED2D5CF">
              <wp:simplePos x="0" y="0"/>
              <wp:positionH relativeFrom="page">
                <wp:posOffset>6931025</wp:posOffset>
              </wp:positionH>
              <wp:positionV relativeFrom="page">
                <wp:posOffset>9844405</wp:posOffset>
              </wp:positionV>
              <wp:extent cx="118745" cy="889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BFD393" w14:textId="77777777" w:rsidR="0052442A" w:rsidRDefault="0012717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51CE8"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545.75pt;margin-top:775.15pt;width:9.35pt;height: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" filled="f" stroked="f">
              <v:textbox style="mso-fit-shape-to-text:t" inset="0,0,0,0">
                <w:txbxContent>
                  <w:p w14:paraId="52BFD393" w14:textId="77777777" w:rsidR="0052442A" w:rsidRDefault="0012717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3C7B" w14:textId="77777777" w:rsidR="0052442A" w:rsidRDefault="001271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A87AFBB" wp14:editId="126D58DA">
              <wp:simplePos x="0" y="0"/>
              <wp:positionH relativeFrom="page">
                <wp:posOffset>6941185</wp:posOffset>
              </wp:positionH>
              <wp:positionV relativeFrom="page">
                <wp:posOffset>9997440</wp:posOffset>
              </wp:positionV>
              <wp:extent cx="118745" cy="889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DADAE9" w14:textId="77777777" w:rsidR="0052442A" w:rsidRDefault="0012717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7AFBB" id="_x0000_t202" coordsize="21600,21600" o:spt="202" path="m,l,21600r21600,l21600,xe">
              <v:stroke joinstyle="miter"/>
              <v:path gradientshapeok="t" o:connecttype="rect"/>
            </v:shapetype>
            <v:shape id="Shape 19" o:spid="_x0000_s1031" type="#_x0000_t202" style="position:absolute;margin-left:546.55pt;margin-top:787.2pt;width:9.35pt;height:7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" filled="f" stroked="f">
              <v:textbox style="mso-fit-shape-to-text:t" inset="0,0,0,0">
                <w:txbxContent>
                  <w:p w14:paraId="6EDADAE9" w14:textId="77777777" w:rsidR="0052442A" w:rsidRDefault="0012717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73AB" w14:textId="77777777" w:rsidR="0052442A" w:rsidRDefault="001271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B5630AE" wp14:editId="74966823">
              <wp:simplePos x="0" y="0"/>
              <wp:positionH relativeFrom="page">
                <wp:posOffset>6964680</wp:posOffset>
              </wp:positionH>
              <wp:positionV relativeFrom="page">
                <wp:posOffset>10190480</wp:posOffset>
              </wp:positionV>
              <wp:extent cx="121285" cy="8890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C51B2" w14:textId="77777777" w:rsidR="0052442A" w:rsidRDefault="0012717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630AE" id="_x0000_t202" coordsize="21600,21600" o:spt="202" path="m,l,21600r21600,l21600,xe">
              <v:stroke joinstyle="miter"/>
              <v:path gradientshapeok="t" o:connecttype="rect"/>
            </v:shapetype>
            <v:shape id="Shape 27" o:spid="_x0000_s1034" type="#_x0000_t202" style="position:absolute;margin-left:548.4pt;margin-top:802.4pt;width:9.55pt;height:7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" filled="f" stroked="f">
              <v:textbox style="mso-fit-shape-to-text:t" inset="0,0,0,0">
                <w:txbxContent>
                  <w:p w14:paraId="0E1C51B2" w14:textId="77777777" w:rsidR="0052442A" w:rsidRDefault="0012717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672B" w14:textId="77777777" w:rsidR="0052442A" w:rsidRDefault="001271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4925FA41" wp14:editId="50FE6D0C">
              <wp:simplePos x="0" y="0"/>
              <wp:positionH relativeFrom="page">
                <wp:posOffset>6964680</wp:posOffset>
              </wp:positionH>
              <wp:positionV relativeFrom="page">
                <wp:posOffset>10190480</wp:posOffset>
              </wp:positionV>
              <wp:extent cx="121285" cy="889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9C522F" w14:textId="77777777" w:rsidR="0052442A" w:rsidRDefault="0012717E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5FA41"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548.4pt;margin-top:802.4pt;width:9.55pt;height:7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" filled="f" stroked="f">
              <v:textbox style="mso-fit-shape-to-text:t" inset="0,0,0,0">
                <w:txbxContent>
                  <w:p w14:paraId="269C522F" w14:textId="77777777" w:rsidR="0052442A" w:rsidRDefault="0012717E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430A" w14:textId="77777777" w:rsidR="0052442A" w:rsidRDefault="0052442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BE7E" w14:textId="77777777" w:rsidR="0012717E" w:rsidRDefault="0012717E">
      <w:r>
        <w:separator/>
      </w:r>
    </w:p>
  </w:footnote>
  <w:footnote w:type="continuationSeparator" w:id="0">
    <w:p w14:paraId="65A35287" w14:textId="77777777" w:rsidR="0012717E" w:rsidRDefault="0012717E">
      <w:r>
        <w:continuationSeparator/>
      </w:r>
    </w:p>
  </w:footnote>
  <w:footnote w:id="1">
    <w:p w14:paraId="4BAA529B" w14:textId="77777777" w:rsidR="0052442A" w:rsidRDefault="0012717E">
      <w:pPr>
        <w:pStyle w:val="a4"/>
      </w:pPr>
      <w:r>
        <w:rPr>
          <w:i/>
          <w:iCs/>
        </w:rPr>
        <w:t>'Отчетным годом</w:t>
      </w:r>
      <w:r>
        <w:t xml:space="preserve"> является календарный год - с 1 января по 31 декабря включительно. </w:t>
      </w:r>
      <w:r>
        <w:rPr>
          <w:i/>
          <w:iCs/>
        </w:rPr>
        <w:t>Первым отчетным годом</w:t>
      </w:r>
      <w:r>
        <w:t xml:space="preserve"> является период </w:t>
      </w:r>
      <w:proofErr w:type="spellStart"/>
      <w:r>
        <w:t>сдаты</w:t>
      </w:r>
      <w:proofErr w:type="spellEnd"/>
      <w:r>
        <w:t xml:space="preserve"> вступления в силу решения Союза о приеме в члены Союза с предоставлением такому члену Союза права участия в заключении договоров п</w:t>
      </w:r>
      <w:r>
        <w:t>одряда на подготовку проектной документации с использованием конкурентных способов заключения договоров по 31 декабря того же календарного года включительно</w:t>
      </w:r>
    </w:p>
  </w:footnote>
  <w:footnote w:id="2">
    <w:p w14:paraId="602FD7B4" w14:textId="77777777" w:rsidR="0052442A" w:rsidRDefault="0012717E">
      <w:pPr>
        <w:pStyle w:val="a4"/>
        <w:spacing w:line="257" w:lineRule="auto"/>
      </w:pPr>
      <w:r>
        <w:rPr>
          <w:vertAlign w:val="superscript"/>
        </w:rPr>
        <w:footnoteRef/>
      </w:r>
      <w:r>
        <w:t xml:space="preserve"> Под </w:t>
      </w:r>
      <w:r>
        <w:rPr>
          <w:i/>
          <w:iCs/>
        </w:rPr>
        <w:t>ненадлежащим исполнением</w:t>
      </w:r>
      <w:r>
        <w:t xml:space="preserve"> договорного обязательства 8 ГК РФ понимается его исполнение при нару</w:t>
      </w:r>
      <w:r>
        <w:t>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B71F" w14:textId="77777777" w:rsidR="0052442A" w:rsidRDefault="0052442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4A1" w14:textId="17BBA49D" w:rsidR="0052442A" w:rsidRDefault="0052442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DFAA" w14:textId="77777777" w:rsidR="0052442A" w:rsidRDefault="001271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96144D6" wp14:editId="739A8906">
              <wp:simplePos x="0" y="0"/>
              <wp:positionH relativeFrom="page">
                <wp:posOffset>3029585</wp:posOffset>
              </wp:positionH>
              <wp:positionV relativeFrom="page">
                <wp:posOffset>830580</wp:posOffset>
              </wp:positionV>
              <wp:extent cx="4011930" cy="1168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93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B6F138" w14:textId="77777777" w:rsidR="0052442A" w:rsidRDefault="0012717E">
                          <w:pPr>
                            <w:pStyle w:val="22"/>
                          </w:pPr>
                          <w:r>
                            <w:rPr>
                              <w:b/>
                              <w:bCs/>
                            </w:rPr>
                            <w:t>Приложение №2 к Правилам контроля в области саморегулирования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144D6"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238.55pt;margin-top:65.4pt;width:315.9pt;height:9.2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" filled="f" stroked="f">
              <v:textbox style="mso-fit-shape-to-text:t" inset="0,0,0,0">
                <w:txbxContent>
                  <w:p w14:paraId="1AB6F138" w14:textId="77777777" w:rsidR="0052442A" w:rsidRDefault="0012717E">
                    <w:pPr>
                      <w:pStyle w:val="22"/>
                    </w:pPr>
                    <w:r>
                      <w:rPr>
                        <w:b/>
                        <w:bCs/>
                      </w:rPr>
                      <w:t>Приложение №2 к Правилам контроля в области саморегулирования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55CF" w14:textId="77777777" w:rsidR="0052442A" w:rsidRDefault="001271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7F6545A" wp14:editId="100EBA2B">
              <wp:simplePos x="0" y="0"/>
              <wp:positionH relativeFrom="page">
                <wp:posOffset>4712970</wp:posOffset>
              </wp:positionH>
              <wp:positionV relativeFrom="page">
                <wp:posOffset>1028700</wp:posOffset>
              </wp:positionV>
              <wp:extent cx="2350135" cy="2717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135" cy="2717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ADA282" w14:textId="77777777" w:rsidR="0052442A" w:rsidRDefault="0012717E">
                          <w:pPr>
                            <w:pStyle w:val="22"/>
                          </w:pPr>
                          <w:r>
                            <w:rPr>
                              <w:b/>
                              <w:bCs/>
                              <w:shd w:val="clear" w:color="auto" w:fill="FFFFFF"/>
                            </w:rPr>
                            <w:t>Приложение №4 к Правилам контроля в</w:t>
                          </w:r>
                        </w:p>
                        <w:p w14:paraId="5F4034E9" w14:textId="77777777" w:rsidR="0052442A" w:rsidRDefault="0012717E">
                          <w:pPr>
                            <w:pStyle w:val="22"/>
                          </w:pPr>
                          <w:r>
                            <w:rPr>
                              <w:b/>
                              <w:bCs/>
                            </w:rPr>
                            <w:t>области саморегулирования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6545A" id="_x0000_t202" coordsize="21600,21600" o:spt="202" path="m,l,21600r21600,l21600,xe">
              <v:stroke joinstyle="miter"/>
              <v:path gradientshapeok="t" o:connecttype="rect"/>
            </v:shapetype>
            <v:shape id="Shape 25" o:spid="_x0000_s1032" type="#_x0000_t202" style="position:absolute;margin-left:371.1pt;margin-top:81pt;width:185.05pt;height:21.4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" filled="f" stroked="f">
              <v:textbox style="mso-fit-shape-to-text:t" inset="0,0,0,0">
                <w:txbxContent>
                  <w:p w14:paraId="4BADA282" w14:textId="77777777" w:rsidR="0052442A" w:rsidRDefault="0012717E">
                    <w:pPr>
                      <w:pStyle w:val="22"/>
                    </w:pPr>
                    <w:r>
                      <w:rPr>
                        <w:b/>
                        <w:bCs/>
                        <w:shd w:val="clear" w:color="auto" w:fill="FFFFFF"/>
                      </w:rPr>
                      <w:t>Приложение №4 к Правилам контроля в</w:t>
                    </w:r>
                  </w:p>
                  <w:p w14:paraId="5F4034E9" w14:textId="77777777" w:rsidR="0052442A" w:rsidRDefault="0012717E">
                    <w:pPr>
                      <w:pStyle w:val="22"/>
                    </w:pPr>
                    <w:r>
                      <w:rPr>
                        <w:b/>
                        <w:bCs/>
                      </w:rPr>
                      <w:t>области саморегулирования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0E17" w14:textId="77777777" w:rsidR="0052442A" w:rsidRDefault="001271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008C350" wp14:editId="0B3996AD">
              <wp:simplePos x="0" y="0"/>
              <wp:positionH relativeFrom="page">
                <wp:posOffset>4712970</wp:posOffset>
              </wp:positionH>
              <wp:positionV relativeFrom="page">
                <wp:posOffset>1028700</wp:posOffset>
              </wp:positionV>
              <wp:extent cx="2350135" cy="2717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135" cy="2717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64A99" w14:textId="77777777" w:rsidR="0052442A" w:rsidRDefault="0012717E">
                          <w:pPr>
                            <w:pStyle w:val="22"/>
                          </w:pPr>
                          <w:r>
                            <w:rPr>
                              <w:b/>
                              <w:bCs/>
                              <w:shd w:val="clear" w:color="auto" w:fill="FFFFFF"/>
                            </w:rPr>
                            <w:t>Приложение №4 к Правилам контроля в</w:t>
                          </w:r>
                        </w:p>
                        <w:p w14:paraId="2148A2E8" w14:textId="77777777" w:rsidR="0052442A" w:rsidRDefault="0012717E">
                          <w:pPr>
                            <w:pStyle w:val="22"/>
                          </w:pPr>
                          <w:r>
                            <w:rPr>
                              <w:b/>
                              <w:bCs/>
                            </w:rPr>
                            <w:t xml:space="preserve">области </w:t>
                          </w:r>
                          <w:r>
                            <w:rPr>
                              <w:b/>
                              <w:bCs/>
                            </w:rPr>
                            <w:t>саморегулирования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8C350" id="_x0000_t202" coordsize="21600,21600" o:spt="202" path="m,l,21600r21600,l21600,xe">
              <v:stroke joinstyle="miter"/>
              <v:path gradientshapeok="t" o:connecttype="rect"/>
            </v:shapetype>
            <v:shape id="Shape 21" o:spid="_x0000_s1033" type="#_x0000_t202" style="position:absolute;margin-left:371.1pt;margin-top:81pt;width:185.05pt;height:21.4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" filled="f" stroked="f">
              <v:textbox style="mso-fit-shape-to-text:t" inset="0,0,0,0">
                <w:txbxContent>
                  <w:p w14:paraId="5A664A99" w14:textId="77777777" w:rsidR="0052442A" w:rsidRDefault="0012717E">
                    <w:pPr>
                      <w:pStyle w:val="22"/>
                    </w:pPr>
                    <w:r>
                      <w:rPr>
                        <w:b/>
                        <w:bCs/>
                        <w:shd w:val="clear" w:color="auto" w:fill="FFFFFF"/>
                      </w:rPr>
                      <w:t>Приложение №4 к Правилам контроля в</w:t>
                    </w:r>
                  </w:p>
                  <w:p w14:paraId="2148A2E8" w14:textId="77777777" w:rsidR="0052442A" w:rsidRDefault="0012717E">
                    <w:pPr>
                      <w:pStyle w:val="22"/>
                    </w:pPr>
                    <w:r>
                      <w:rPr>
                        <w:b/>
                        <w:bCs/>
                      </w:rPr>
                      <w:t xml:space="preserve">области </w:t>
                    </w:r>
                    <w:r>
                      <w:rPr>
                        <w:b/>
                        <w:bCs/>
                      </w:rPr>
                      <w:t>саморегулирования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B868" w14:textId="77777777" w:rsidR="0052442A" w:rsidRDefault="0052442A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5359" w14:textId="77777777" w:rsidR="0052442A" w:rsidRDefault="0052442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FF4"/>
    <w:multiLevelType w:val="multilevel"/>
    <w:tmpl w:val="762CD01C"/>
    <w:lvl w:ilvl="0">
      <w:start w:val="1"/>
      <w:numFmt w:val="decimal"/>
      <w:lvlText w:val="1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C19AA"/>
    <w:multiLevelType w:val="multilevel"/>
    <w:tmpl w:val="995E32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E2887"/>
    <w:multiLevelType w:val="multilevel"/>
    <w:tmpl w:val="EA0C6F2E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877C9"/>
    <w:multiLevelType w:val="multilevel"/>
    <w:tmpl w:val="561E578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07291"/>
    <w:multiLevelType w:val="multilevel"/>
    <w:tmpl w:val="0532A750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8D29C0"/>
    <w:multiLevelType w:val="multilevel"/>
    <w:tmpl w:val="D01C584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CA531E"/>
    <w:multiLevelType w:val="multilevel"/>
    <w:tmpl w:val="B6DCBE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ED16A0"/>
    <w:multiLevelType w:val="multilevel"/>
    <w:tmpl w:val="6D326F1E"/>
    <w:lvl w:ilvl="0">
      <w:start w:val="1"/>
      <w:numFmt w:val="decimal"/>
      <w:lvlText w:val="10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F17F9C"/>
    <w:multiLevelType w:val="multilevel"/>
    <w:tmpl w:val="B074FF8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8D4310"/>
    <w:multiLevelType w:val="multilevel"/>
    <w:tmpl w:val="0276C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8041B3"/>
    <w:multiLevelType w:val="multilevel"/>
    <w:tmpl w:val="3F0867C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4F40CB"/>
    <w:multiLevelType w:val="multilevel"/>
    <w:tmpl w:val="EC864D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48778A"/>
    <w:multiLevelType w:val="multilevel"/>
    <w:tmpl w:val="8B98D7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A01AFC"/>
    <w:multiLevelType w:val="multilevel"/>
    <w:tmpl w:val="EC843F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BC2E71"/>
    <w:multiLevelType w:val="multilevel"/>
    <w:tmpl w:val="E1A64BA6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A93DD0"/>
    <w:multiLevelType w:val="multilevel"/>
    <w:tmpl w:val="247E79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A25753"/>
    <w:multiLevelType w:val="multilevel"/>
    <w:tmpl w:val="C936BD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205461"/>
    <w:multiLevelType w:val="multilevel"/>
    <w:tmpl w:val="BC4C463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707D5C"/>
    <w:multiLevelType w:val="multilevel"/>
    <w:tmpl w:val="FDEE3CA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BA274D"/>
    <w:multiLevelType w:val="multilevel"/>
    <w:tmpl w:val="FE602B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5B0BFD"/>
    <w:multiLevelType w:val="multilevel"/>
    <w:tmpl w:val="42F65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7E4254"/>
    <w:multiLevelType w:val="multilevel"/>
    <w:tmpl w:val="93E2A89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024D03"/>
    <w:multiLevelType w:val="multilevel"/>
    <w:tmpl w:val="6A48E74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664434"/>
    <w:multiLevelType w:val="multilevel"/>
    <w:tmpl w:val="9FB453E4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7"/>
  </w:num>
  <w:num w:numId="5">
    <w:abstractNumId w:val="14"/>
  </w:num>
  <w:num w:numId="6">
    <w:abstractNumId w:val="10"/>
  </w:num>
  <w:num w:numId="7">
    <w:abstractNumId w:val="11"/>
  </w:num>
  <w:num w:numId="8">
    <w:abstractNumId w:val="21"/>
  </w:num>
  <w:num w:numId="9">
    <w:abstractNumId w:val="23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19"/>
  </w:num>
  <w:num w:numId="15">
    <w:abstractNumId w:val="16"/>
  </w:num>
  <w:num w:numId="16">
    <w:abstractNumId w:val="2"/>
  </w:num>
  <w:num w:numId="17">
    <w:abstractNumId w:val="18"/>
  </w:num>
  <w:num w:numId="18">
    <w:abstractNumId w:val="8"/>
  </w:num>
  <w:num w:numId="19">
    <w:abstractNumId w:val="6"/>
  </w:num>
  <w:num w:numId="20">
    <w:abstractNumId w:val="4"/>
  </w:num>
  <w:num w:numId="21">
    <w:abstractNumId w:val="0"/>
  </w:num>
  <w:num w:numId="22">
    <w:abstractNumId w:val="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A"/>
    <w:rsid w:val="0012717E"/>
    <w:rsid w:val="002F5B4E"/>
    <w:rsid w:val="00320D25"/>
    <w:rsid w:val="005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FDCD4"/>
  <w15:docId w15:val="{5C31199F-FE88-4035-8287-884DD40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Друго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</w:rPr>
  </w:style>
  <w:style w:type="paragraph" w:customStyle="1" w:styleId="a6">
    <w:name w:val="Подпись к картинке"/>
    <w:basedOn w:val="a"/>
    <w:link w:val="a5"/>
    <w:pPr>
      <w:spacing w:line="264" w:lineRule="auto"/>
      <w:ind w:left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after="230" w:line="211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pacing w:after="280" w:line="281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Другое (2)"/>
    <w:basedOn w:val="a"/>
    <w:link w:val="25"/>
    <w:pPr>
      <w:bidi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F5B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5B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7555</Words>
  <Characters>43069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2</cp:revision>
  <dcterms:created xsi:type="dcterms:W3CDTF">2023-11-23T10:13:00Z</dcterms:created>
  <dcterms:modified xsi:type="dcterms:W3CDTF">2023-11-23T10:32:00Z</dcterms:modified>
</cp:coreProperties>
</file>